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7437" w14:textId="18CE1350" w:rsidR="004D6B86" w:rsidRDefault="00240AD6">
      <w:pPr>
        <w:pStyle w:val="Title"/>
      </w:pPr>
      <w:r>
        <w:t>Carbon Footprint across Industries and Individuals</w:t>
      </w:r>
    </w:p>
    <w:p w14:paraId="174C1F80" w14:textId="49BFD3CF" w:rsidR="004D6B86" w:rsidRDefault="008D2660">
      <w:pPr>
        <w:pStyle w:val="Title2"/>
      </w:pPr>
      <w:r>
        <w:t>David G. Kinney</w:t>
      </w:r>
    </w:p>
    <w:p w14:paraId="5E6129D8" w14:textId="332F0660" w:rsidR="004D6B86" w:rsidRDefault="008D2660">
      <w:pPr>
        <w:pStyle w:val="Title2"/>
      </w:pPr>
      <w:r>
        <w:t>Bellevue University</w:t>
      </w:r>
    </w:p>
    <w:p w14:paraId="2E1459DB" w14:textId="532A0C05" w:rsidR="008D2660" w:rsidRDefault="008D2660">
      <w:pPr>
        <w:pStyle w:val="Title2"/>
      </w:pPr>
      <w:r>
        <w:t>DSC 680 – Professor Catherine Williams</w:t>
      </w:r>
    </w:p>
    <w:p w14:paraId="1B64A1AA" w14:textId="77777777" w:rsidR="004D6B86" w:rsidRPr="009D2A20" w:rsidRDefault="00345333">
      <w:pPr>
        <w:pStyle w:val="SectionTitle"/>
        <w:rPr>
          <w:b/>
          <w:bCs/>
        </w:rPr>
      </w:pPr>
      <w:r w:rsidRPr="009D2A20">
        <w:rPr>
          <w:b/>
          <w:bCs/>
        </w:rPr>
        <w:lastRenderedPageBreak/>
        <w:t>Abstract</w:t>
      </w:r>
    </w:p>
    <w:p w14:paraId="7E9AC3C8" w14:textId="4F513687" w:rsidR="004D6B86" w:rsidRDefault="00240AD6" w:rsidP="00346FDD">
      <w:pPr>
        <w:pStyle w:val="NoSpacing"/>
        <w:ind w:firstLine="720"/>
      </w:pPr>
      <w:r>
        <w:t>The effects of climate change are increasingly visible. Storms, droughts, fires, and flooding have become stronger and more frequent [3]. Global ecosystems are changing, including the natural resources and agriculture on which humanity depends. The 2018 intergovernmental report on climate change estimated that the world will face catastrophic consequences unless global greenhouse gas emissions are eliminated within thirty years [4]. Yet year after year, these emissions rise. [1]</w:t>
      </w:r>
      <w:r w:rsidR="00E76C38">
        <w:t xml:space="preserve"> </w:t>
      </w:r>
      <w:r w:rsidR="000C684F">
        <w:t>How does the carbon footprint of a person compare to that of an industry?</w:t>
      </w:r>
      <w:r w:rsidR="00F42A75">
        <w:t xml:space="preserve"> And does it matter?</w:t>
      </w:r>
    </w:p>
    <w:p w14:paraId="6788921C" w14:textId="26024392" w:rsidR="009D2A20" w:rsidRDefault="00345333" w:rsidP="009D2A20">
      <w:r>
        <w:rPr>
          <w:rStyle w:val="Emphasis"/>
        </w:rPr>
        <w:t>Keywords</w:t>
      </w:r>
      <w:r w:rsidR="004D4F8C">
        <w:t xml:space="preserve">: </w:t>
      </w:r>
      <w:r w:rsidR="000C684F">
        <w:t>climate, greenhouse, carbon, footprint, emissions</w:t>
      </w:r>
    </w:p>
    <w:p w14:paraId="0680C671" w14:textId="44E67DEF" w:rsidR="009D2A20" w:rsidRDefault="009D2A20" w:rsidP="009D2A20"/>
    <w:p w14:paraId="7F1CB88C" w14:textId="00914663" w:rsidR="004D6B86" w:rsidRDefault="0093586F" w:rsidP="00E76C38">
      <w:pPr>
        <w:pStyle w:val="Heading1"/>
        <w:ind w:firstLine="720"/>
      </w:pPr>
      <w:r>
        <w:t>Introduction &amp; Hypothesis</w:t>
      </w:r>
    </w:p>
    <w:p w14:paraId="77383B76" w14:textId="41E16BBD" w:rsidR="00A14DAC" w:rsidRDefault="00E76C38" w:rsidP="00346FDD">
      <w:r>
        <w:t>It is my subjective observation that a groundswell of concern and effort at the grass roots level is taking hold. More and more, individuals are being steered towards a green</w:t>
      </w:r>
      <w:r w:rsidR="000C684F">
        <w:t>(er)</w:t>
      </w:r>
      <w:r>
        <w:t xml:space="preserve"> lifestyle by gradually reducing their carbon footprint, through efforts such as using less gas and electricity, buying less or no plastic bottles and generating less landfill waste. However, it is my hypothesis that individual effort likely pale</w:t>
      </w:r>
      <w:r w:rsidR="0046642A">
        <w:t>s</w:t>
      </w:r>
      <w:r>
        <w:t xml:space="preserve"> in comparison to what is required of major industries notorious for large volumes of greenhouse gas emissions, </w:t>
      </w:r>
      <w:r w:rsidR="00E3700A" w:rsidRPr="00E3700A">
        <w:rPr>
          <w:i/>
          <w:iCs/>
        </w:rPr>
        <w:t>the</w:t>
      </w:r>
      <w:r>
        <w:t xml:space="preserve"> major cause of </w:t>
      </w:r>
      <w:r w:rsidR="00E3700A">
        <w:t xml:space="preserve">adverse </w:t>
      </w:r>
      <w:r>
        <w:t xml:space="preserve">climate change. </w:t>
      </w:r>
    </w:p>
    <w:p w14:paraId="6045F797" w14:textId="77777777" w:rsidR="00A14DAC" w:rsidRPr="00A14DAC" w:rsidRDefault="00A14DAC" w:rsidP="00A14DAC"/>
    <w:p w14:paraId="4A3C0813" w14:textId="39183809" w:rsidR="004D6B86" w:rsidRPr="00C5686B" w:rsidRDefault="00AB38E2" w:rsidP="00E76C38">
      <w:pPr>
        <w:pStyle w:val="Heading2"/>
        <w:ind w:firstLine="720"/>
        <w:jc w:val="center"/>
      </w:pPr>
      <w:r>
        <w:t>Discussion</w:t>
      </w:r>
    </w:p>
    <w:p w14:paraId="5DA9B65B" w14:textId="219FDA9C" w:rsidR="00266C31" w:rsidRDefault="00AB38E2" w:rsidP="00AB38E2">
      <w:r>
        <w:t>The United States Environmental Protection Agency (</w:t>
      </w:r>
      <w:r w:rsidR="00D05ABD" w:rsidRPr="00D05ABD">
        <w:t>EPA</w:t>
      </w:r>
      <w:r>
        <w:t>)</w:t>
      </w:r>
      <w:r w:rsidR="00D05ABD" w:rsidRPr="00D05ABD">
        <w:t xml:space="preserve"> tracks total U.S. emissions by publishing the Inventory of U.S. Greenhouse Gas Emissions and Sinks. This annual report estimates the total national greenhouse gas emissions and removals associated with human </w:t>
      </w:r>
      <w:r w:rsidR="00D05ABD" w:rsidRPr="00D05ABD">
        <w:lastRenderedPageBreak/>
        <w:t>activities across the United States.</w:t>
      </w:r>
      <w:r w:rsidR="00D05ABD">
        <w:t xml:space="preserve"> The data is separated into categories for Transportation, Electricity production, General industry, Commercial and Residential, Agriculture, and Land use.</w:t>
      </w:r>
      <w:r w:rsidR="00266C31">
        <w:t xml:space="preserve"> </w:t>
      </w:r>
      <w:r>
        <w:t xml:space="preserve">In addition, the EPA also provides the </w:t>
      </w:r>
      <w:r w:rsidR="00266C31">
        <w:t>Greenhouse Gas Inventory Data Explorer–</w:t>
      </w:r>
      <w:r w:rsidR="00266C31" w:rsidRPr="00266C31">
        <w:t xml:space="preserve">an interactive tool that provides access to data from the EPA's annual Inventory of the U.S. Greenhouse Gas Emissions and Sinks. </w:t>
      </w:r>
      <w:r w:rsidR="00266C31">
        <w:t>It</w:t>
      </w:r>
      <w:r w:rsidR="00266C31" w:rsidRPr="00266C31">
        <w:t xml:space="preserve"> can </w:t>
      </w:r>
      <w:r w:rsidR="00266C31">
        <w:t xml:space="preserve">be </w:t>
      </w:r>
      <w:r w:rsidR="00266C31" w:rsidRPr="00266C31">
        <w:t>use</w:t>
      </w:r>
      <w:r w:rsidR="00266C31">
        <w:t>d</w:t>
      </w:r>
      <w:r w:rsidR="00266C31" w:rsidRPr="00266C31">
        <w:t xml:space="preserve"> to create customized graphs, examine trends over time, and download data.</w:t>
      </w:r>
      <w:r w:rsidR="00266C31">
        <w:t xml:space="preserve"> [5]</w:t>
      </w:r>
      <w:r>
        <w:t xml:space="preserve"> Graphing the data for the years 1990 through 2019 by economic sector highlights the disparity between electricity generation</w:t>
      </w:r>
      <w:r w:rsidR="00E3700A">
        <w:t>, transportation and industry,</w:t>
      </w:r>
      <w:r>
        <w:t xml:space="preserve"> and re</w:t>
      </w:r>
      <w:r w:rsidR="00E3700A">
        <w:t>sidential emissions.</w:t>
      </w:r>
      <w:r w:rsidR="00E3700A" w:rsidRPr="00E3700A">
        <w:rPr>
          <w:noProof/>
        </w:rPr>
        <w:t xml:space="preserve"> </w:t>
      </w:r>
      <w:r w:rsidR="00E3700A">
        <w:rPr>
          <w:noProof/>
        </w:rPr>
        <w:drawing>
          <wp:inline distT="0" distB="0" distL="0" distR="0" wp14:anchorId="7C8C6081" wp14:editId="72E4359C">
            <wp:extent cx="5924550" cy="4105275"/>
            <wp:effectExtent l="0" t="0" r="0" b="9525"/>
            <wp:docPr id="1" name="Chart 1">
              <a:extLst xmlns:a="http://schemas.openxmlformats.org/drawingml/2006/main">
                <a:ext uri="{FF2B5EF4-FFF2-40B4-BE49-F238E27FC236}">
                  <a16:creationId xmlns:a16="http://schemas.microsoft.com/office/drawing/2014/main" id="{4DCFC3A6-E47D-4021-89EC-FA9FFC940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79831E" w14:textId="5C258758" w:rsidR="00AB38E2" w:rsidRDefault="00AB38E2" w:rsidP="00AB38E2">
      <w:pPr>
        <w:ind w:firstLine="0"/>
      </w:pPr>
    </w:p>
    <w:p w14:paraId="6771DE21" w14:textId="40291AC4" w:rsidR="00B31D5C" w:rsidRDefault="00AB38E2" w:rsidP="00346FDD">
      <w:r>
        <w:t xml:space="preserve">The picture becomes even more bleak when analyzed on a global level. </w:t>
      </w:r>
      <w:r>
        <w:t xml:space="preserve">Global carbon emissions from fossil fuels have significantly increased since 1900. </w:t>
      </w:r>
      <w:r w:rsidR="00E93830">
        <w:t>In fact, s</w:t>
      </w:r>
      <w:r>
        <w:t xml:space="preserve">ince 1970, CO2 </w:t>
      </w:r>
      <w:r>
        <w:lastRenderedPageBreak/>
        <w:t>emissions have increased by about 90%, with emissions from fossil fuel combustion and industrial processes contributing about 78% of the total greenhouse gas emissions increase from 1970 to 2011. Agriculture, deforestation, and other land-use changes have been the second-largest contributors.[</w:t>
      </w:r>
      <w:r w:rsidR="00785642">
        <w:t>8</w:t>
      </w:r>
      <w:r>
        <w:t>]</w:t>
      </w:r>
      <w:r>
        <w:t xml:space="preserve"> </w:t>
      </w:r>
    </w:p>
    <w:p w14:paraId="110408B8" w14:textId="77777777" w:rsidR="00346FDD" w:rsidRDefault="00346FDD" w:rsidP="00AB38E2">
      <w:pPr>
        <w:ind w:firstLine="0"/>
      </w:pPr>
      <w:r>
        <w:rPr>
          <w:noProof/>
        </w:rPr>
        <w:drawing>
          <wp:inline distT="0" distB="0" distL="0" distR="0" wp14:anchorId="227854B7" wp14:editId="7D56BFD3">
            <wp:extent cx="5534025" cy="42315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2440" cy="4237954"/>
                    </a:xfrm>
                    <a:prstGeom prst="rect">
                      <a:avLst/>
                    </a:prstGeom>
                  </pic:spPr>
                </pic:pic>
              </a:graphicData>
            </a:graphic>
          </wp:inline>
        </w:drawing>
      </w:r>
    </w:p>
    <w:p w14:paraId="46260DD0" w14:textId="2A9E9DB5" w:rsidR="00AB38E2" w:rsidRDefault="002B44E4" w:rsidP="00AB38E2">
      <w:pPr>
        <w:ind w:firstLine="0"/>
      </w:pPr>
      <w:r>
        <w:rPr>
          <w:noProof/>
        </w:rPr>
        <w:lastRenderedPageBreak/>
        <w:drawing>
          <wp:anchor distT="0" distB="0" distL="114300" distR="114300" simplePos="0" relativeHeight="251658240" behindDoc="0" locked="0" layoutInCell="1" allowOverlap="1" wp14:anchorId="555558E8" wp14:editId="44CEC32B">
            <wp:simplePos x="0" y="0"/>
            <wp:positionH relativeFrom="column">
              <wp:posOffset>-676910</wp:posOffset>
            </wp:positionH>
            <wp:positionV relativeFrom="paragraph">
              <wp:posOffset>381000</wp:posOffset>
            </wp:positionV>
            <wp:extent cx="3476625" cy="3269615"/>
            <wp:effectExtent l="0" t="0" r="952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3269615"/>
                    </a:xfrm>
                    <a:prstGeom prst="rect">
                      <a:avLst/>
                    </a:prstGeom>
                  </pic:spPr>
                </pic:pic>
              </a:graphicData>
            </a:graphic>
            <wp14:sizeRelH relativeFrom="margin">
              <wp14:pctWidth>0</wp14:pctWidth>
            </wp14:sizeRelH>
            <wp14:sizeRelV relativeFrom="margin">
              <wp14:pctHeight>0</wp14:pctHeight>
            </wp14:sizeRelV>
          </wp:anchor>
        </w:drawing>
      </w:r>
    </w:p>
    <w:p w14:paraId="52C7DCDB" w14:textId="127EEEDF" w:rsidR="00785642" w:rsidRDefault="00785642" w:rsidP="00785642">
      <w:pPr>
        <w:ind w:firstLine="0"/>
      </w:pPr>
    </w:p>
    <w:p w14:paraId="5C52C068" w14:textId="50598EC9" w:rsidR="00785642" w:rsidRDefault="00785642" w:rsidP="00785642">
      <w:pPr>
        <w:ind w:firstLine="0"/>
      </w:pPr>
      <w:r>
        <w:t>However,</w:t>
      </w:r>
      <w:r>
        <w:t xml:space="preserve"> </w:t>
      </w:r>
      <w:r w:rsidR="0046642A">
        <w:t>much</w:t>
      </w:r>
      <w:r>
        <w:t xml:space="preserve"> of the blame lies right here in the good old United States. While this country has lately made a sport of accusing China of all the ills of the world, this country comes in second in the category of most CO2 emitted in recent years. </w:t>
      </w:r>
    </w:p>
    <w:p w14:paraId="4A0D7253" w14:textId="0D2B9EFE" w:rsidR="00785642" w:rsidRPr="00624302" w:rsidRDefault="00785642" w:rsidP="00785642">
      <w:pPr>
        <w:ind w:firstLine="0"/>
      </w:pPr>
    </w:p>
    <w:p w14:paraId="729AF3A8" w14:textId="7AB6049A" w:rsidR="00785642" w:rsidRDefault="00785642" w:rsidP="00785642">
      <w:pPr>
        <w:ind w:firstLine="0"/>
      </w:pPr>
    </w:p>
    <w:p w14:paraId="779C5A05" w14:textId="77777777" w:rsidR="0046642A" w:rsidRDefault="0046642A" w:rsidP="00785642">
      <w:pPr>
        <w:ind w:firstLine="0"/>
      </w:pPr>
    </w:p>
    <w:p w14:paraId="00E7BD49" w14:textId="4B2222C2" w:rsidR="00785642" w:rsidRDefault="00785642" w:rsidP="00785642">
      <w:pPr>
        <w:ind w:firstLine="0"/>
      </w:pPr>
      <w:r w:rsidRPr="00624302">
        <w:t xml:space="preserve">Source: </w:t>
      </w:r>
      <w:hyperlink r:id="rId12" w:history="1">
        <w:r w:rsidRPr="003F2AC7">
          <w:rPr>
            <w:rStyle w:val="Hyperlink"/>
          </w:rPr>
          <w:t>https://www.ucsusa.org/resources/each-countrys-share-co2-emissions</w:t>
        </w:r>
      </w:hyperlink>
    </w:p>
    <w:p w14:paraId="2B198179" w14:textId="0C88CB3D" w:rsidR="0046642A" w:rsidRDefault="0046642A">
      <w:pPr>
        <w:rPr>
          <w:rStyle w:val="Heading3Char"/>
        </w:rPr>
      </w:pPr>
      <w:r>
        <w:rPr>
          <w:rStyle w:val="Heading3Char"/>
          <w:b w:val="0"/>
          <w:bCs w:val="0"/>
        </w:rPr>
        <w:br w:type="page"/>
      </w:r>
    </w:p>
    <w:p w14:paraId="73A39638" w14:textId="406984D4" w:rsidR="00A14DAC" w:rsidRDefault="00A14DAC" w:rsidP="00B31D5C">
      <w:pPr>
        <w:pStyle w:val="Heading3"/>
        <w:jc w:val="center"/>
        <w:rPr>
          <w:rStyle w:val="Heading3Char"/>
          <w:b/>
          <w:bCs/>
        </w:rPr>
      </w:pPr>
      <w:r>
        <w:rPr>
          <w:rStyle w:val="Heading3Char"/>
          <w:b/>
          <w:bCs/>
        </w:rPr>
        <w:lastRenderedPageBreak/>
        <w:t>Research</w:t>
      </w:r>
    </w:p>
    <w:p w14:paraId="2B824A4F" w14:textId="6870A6B0" w:rsidR="0046642A" w:rsidRPr="0046642A" w:rsidRDefault="0046642A" w:rsidP="0046642A">
      <w:r>
        <w:rPr>
          <w:noProof/>
        </w:rPr>
        <w:drawing>
          <wp:anchor distT="0" distB="0" distL="114300" distR="114300" simplePos="0" relativeHeight="251659264" behindDoc="0" locked="0" layoutInCell="1" allowOverlap="1" wp14:anchorId="6DA00BAB" wp14:editId="1DA7564B">
            <wp:simplePos x="0" y="0"/>
            <wp:positionH relativeFrom="column">
              <wp:posOffset>2898775</wp:posOffset>
            </wp:positionH>
            <wp:positionV relativeFrom="paragraph">
              <wp:posOffset>135255</wp:posOffset>
            </wp:positionV>
            <wp:extent cx="2996565" cy="4257675"/>
            <wp:effectExtent l="0" t="0" r="0" b="9525"/>
            <wp:wrapSquare wrapText="bothSides"/>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3"/>
                    <a:stretch>
                      <a:fillRect/>
                    </a:stretch>
                  </pic:blipFill>
                  <pic:spPr>
                    <a:xfrm>
                      <a:off x="0" y="0"/>
                      <a:ext cx="2996565" cy="4257675"/>
                    </a:xfrm>
                    <a:prstGeom prst="rect">
                      <a:avLst/>
                    </a:prstGeom>
                  </pic:spPr>
                </pic:pic>
              </a:graphicData>
            </a:graphic>
            <wp14:sizeRelH relativeFrom="margin">
              <wp14:pctWidth>0</wp14:pctWidth>
            </wp14:sizeRelH>
            <wp14:sizeRelV relativeFrom="margin">
              <wp14:pctHeight>0</wp14:pctHeight>
            </wp14:sizeRelV>
          </wp:anchor>
        </w:drawing>
      </w:r>
    </w:p>
    <w:p w14:paraId="65C6D236" w14:textId="5DE88331" w:rsidR="00A14DAC" w:rsidRDefault="00422AAC" w:rsidP="00C2765B">
      <w:r>
        <w:t xml:space="preserve">Overall, </w:t>
      </w:r>
      <w:r w:rsidR="00C2765B">
        <w:t>residential gas emission pale</w:t>
      </w:r>
      <w:r w:rsidR="0046642A">
        <w:t>s</w:t>
      </w:r>
      <w:r w:rsidR="00C2765B">
        <w:t xml:space="preserve"> in comparison to most industries, electricity generation being the most extreme example</w:t>
      </w:r>
      <w:r w:rsidR="00794EAF">
        <w:t xml:space="preserve">, followed by agriculture, deforestation and gas emissions emitted from fossil fuels burned for road, rail, </w:t>
      </w:r>
      <w:r w:rsidR="00E93830">
        <w:t>air,</w:t>
      </w:r>
      <w:r w:rsidR="00794EAF">
        <w:t xml:space="preserve"> and marine transportation</w:t>
      </w:r>
      <w:r w:rsidR="00C2765B">
        <w:t xml:space="preserve">. Globally, China accounts for 30% of emissions from fossil fuel combustion with the United States second, account for 15%. </w:t>
      </w:r>
      <w:r w:rsidR="00794EAF">
        <w:t>[8]</w:t>
      </w:r>
    </w:p>
    <w:p w14:paraId="04DD2649" w14:textId="15BA5117" w:rsidR="0032462F" w:rsidRDefault="0032462F" w:rsidP="00422AAC">
      <w:pPr>
        <w:pStyle w:val="Heading5"/>
        <w:jc w:val="center"/>
        <w:rPr>
          <w:b/>
          <w:bCs/>
          <w:i w:val="0"/>
          <w:iCs w:val="0"/>
        </w:rPr>
      </w:pPr>
    </w:p>
    <w:p w14:paraId="27C5AD95" w14:textId="77777777" w:rsidR="0032462F" w:rsidRPr="0032462F" w:rsidRDefault="0032462F" w:rsidP="0032462F"/>
    <w:p w14:paraId="073318E4" w14:textId="77777777" w:rsidR="00AE5F89" w:rsidRDefault="00AE5F89" w:rsidP="00422AAC">
      <w:pPr>
        <w:pStyle w:val="Heading5"/>
        <w:jc w:val="center"/>
        <w:rPr>
          <w:b/>
          <w:bCs/>
          <w:i w:val="0"/>
          <w:iCs w:val="0"/>
        </w:rPr>
      </w:pPr>
    </w:p>
    <w:p w14:paraId="20AD3F0B" w14:textId="77777777" w:rsidR="0046642A" w:rsidRDefault="0046642A" w:rsidP="00422AAC">
      <w:pPr>
        <w:pStyle w:val="Heading5"/>
        <w:jc w:val="center"/>
        <w:rPr>
          <w:b/>
          <w:bCs/>
          <w:i w:val="0"/>
          <w:iCs w:val="0"/>
        </w:rPr>
      </w:pPr>
    </w:p>
    <w:p w14:paraId="21CCB75B" w14:textId="77777777" w:rsidR="0046642A" w:rsidRDefault="0046642A" w:rsidP="00422AAC">
      <w:pPr>
        <w:pStyle w:val="Heading5"/>
        <w:jc w:val="center"/>
        <w:rPr>
          <w:b/>
          <w:bCs/>
          <w:i w:val="0"/>
          <w:iCs w:val="0"/>
        </w:rPr>
      </w:pPr>
    </w:p>
    <w:p w14:paraId="12F3FEF2" w14:textId="77777777" w:rsidR="0046642A" w:rsidRDefault="0046642A" w:rsidP="00422AAC">
      <w:pPr>
        <w:pStyle w:val="Heading5"/>
        <w:jc w:val="center"/>
        <w:rPr>
          <w:b/>
          <w:bCs/>
          <w:i w:val="0"/>
          <w:iCs w:val="0"/>
        </w:rPr>
      </w:pPr>
    </w:p>
    <w:p w14:paraId="52A98EE4" w14:textId="77777777" w:rsidR="0046642A" w:rsidRDefault="0046642A" w:rsidP="00422AAC">
      <w:pPr>
        <w:pStyle w:val="Heading5"/>
        <w:jc w:val="center"/>
        <w:rPr>
          <w:b/>
          <w:bCs/>
          <w:i w:val="0"/>
          <w:iCs w:val="0"/>
        </w:rPr>
      </w:pPr>
    </w:p>
    <w:p w14:paraId="5E80EED8" w14:textId="44B79A5C" w:rsidR="003F7CBD" w:rsidRPr="002A0940" w:rsidRDefault="009D2A20" w:rsidP="00422AAC">
      <w:pPr>
        <w:pStyle w:val="Heading5"/>
        <w:jc w:val="center"/>
      </w:pPr>
      <w:r w:rsidRPr="009D2A20">
        <w:rPr>
          <w:b/>
          <w:bCs/>
          <w:i w:val="0"/>
          <w:iCs w:val="0"/>
        </w:rPr>
        <w:t>Conclusions</w:t>
      </w:r>
    </w:p>
    <w:p w14:paraId="382E5366" w14:textId="77777777" w:rsidR="00E93830" w:rsidRDefault="00AE5F89" w:rsidP="00FD5520">
      <w:pPr>
        <w:ind w:left="720"/>
      </w:pPr>
      <w:r>
        <w:t xml:space="preserve">Admittedly, my intention of this project was to present factual evidence that the effects of residential gas emissions are so much less than industry </w:t>
      </w:r>
      <w:r w:rsidR="00E93830">
        <w:t>that it is</w:t>
      </w:r>
      <w:r>
        <w:t xml:space="preserve"> relatively </w:t>
      </w:r>
      <w:r>
        <w:lastRenderedPageBreak/>
        <w:t>pointless fo</w:t>
      </w:r>
      <w:r w:rsidR="00FD5520">
        <w:t xml:space="preserve">r residents of the planet to curb their lifestyles considering the insignificant effect it will have in the great scheme of things. </w:t>
      </w:r>
    </w:p>
    <w:p w14:paraId="52B98502" w14:textId="6442373C" w:rsidR="00AE5F89" w:rsidRDefault="00FD5520" w:rsidP="00E93830">
      <w:pPr>
        <w:ind w:left="720"/>
        <w:jc w:val="center"/>
      </w:pPr>
      <w:r>
        <w:t>But then I came across a blog post by Stephanie Willis on Towards Data Science:</w:t>
      </w:r>
    </w:p>
    <w:p w14:paraId="420A40A8" w14:textId="77777777" w:rsidR="00FD5520" w:rsidRDefault="00FD5520" w:rsidP="004304FB">
      <w:pPr>
        <w:spacing w:line="240" w:lineRule="auto"/>
        <w:ind w:left="720"/>
      </w:pPr>
    </w:p>
    <w:p w14:paraId="72CBF897" w14:textId="085C29BA" w:rsidR="00CA0A1D" w:rsidRPr="00E93830" w:rsidRDefault="00CA0A1D" w:rsidP="00AE5F89">
      <w:pPr>
        <w:spacing w:line="240" w:lineRule="auto"/>
        <w:ind w:left="720"/>
        <w:rPr>
          <w:i/>
          <w:iCs/>
        </w:rPr>
      </w:pPr>
      <w:r w:rsidRPr="00E93830">
        <w:rPr>
          <w:i/>
          <w:iCs/>
        </w:rPr>
        <w:t>Often when I think about climate change and what we might do to mitigate it I become forlorn with the hopelessness of it all. It seems so important and yet so insoluble.</w:t>
      </w:r>
    </w:p>
    <w:p w14:paraId="0735D22C" w14:textId="77777777" w:rsidR="004304FB" w:rsidRPr="00E93830" w:rsidRDefault="004304FB" w:rsidP="00AE5F89">
      <w:pPr>
        <w:spacing w:line="240" w:lineRule="auto"/>
        <w:ind w:left="720"/>
        <w:rPr>
          <w:i/>
          <w:iCs/>
        </w:rPr>
      </w:pPr>
    </w:p>
    <w:p w14:paraId="160CA2CF" w14:textId="36CC9696" w:rsidR="00CA0A1D" w:rsidRPr="00E93830" w:rsidRDefault="00CA0A1D" w:rsidP="00AE5F89">
      <w:pPr>
        <w:spacing w:line="240" w:lineRule="auto"/>
        <w:ind w:left="720"/>
        <w:rPr>
          <w:i/>
          <w:iCs/>
        </w:rPr>
      </w:pPr>
      <w:r w:rsidRPr="00E93830">
        <w:rPr>
          <w:i/>
          <w:iCs/>
        </w:rPr>
        <w:t>Emitting large amounts of CO2 gives us an incredible lifestyle. When we emit there is no immediate feedback mechanism — no way for us to directly feel the cost of our emissions. What’s more, the cost is mostly born by other people. The big, immediate benefits and the lack of direct negative feedback make it hard to persuade ourselves, or our governments, to curb emissions. So hard in fact that I think it is tempting to give it up as a bad job and to get on with our lives. We feel like there is no chance our governments and industries will make the changes needed to meet the Paris Agreement’s aim of limiting global warming to ‘well below 2°C above pre-industrial levels’ — and so we give up.</w:t>
      </w:r>
    </w:p>
    <w:p w14:paraId="61B9BF99" w14:textId="77777777" w:rsidR="004304FB" w:rsidRPr="00E93830" w:rsidRDefault="004304FB" w:rsidP="00AE5F89">
      <w:pPr>
        <w:spacing w:line="240" w:lineRule="auto"/>
        <w:ind w:left="720"/>
        <w:rPr>
          <w:i/>
          <w:iCs/>
        </w:rPr>
      </w:pPr>
    </w:p>
    <w:p w14:paraId="257E31CB" w14:textId="32307FA9" w:rsidR="007104CD" w:rsidRPr="00E93830" w:rsidRDefault="00CA0A1D" w:rsidP="00AE5F89">
      <w:pPr>
        <w:spacing w:line="240" w:lineRule="auto"/>
        <w:ind w:left="720"/>
        <w:rPr>
          <w:i/>
          <w:iCs/>
        </w:rPr>
      </w:pPr>
      <w:r w:rsidRPr="00E93830">
        <w:rPr>
          <w:b/>
          <w:bCs/>
          <w:i/>
          <w:iCs/>
        </w:rPr>
        <w:t>But we shouldn’t. Because 2°C is better than 3°C and 3°C is better than 4°C.</w:t>
      </w:r>
      <w:r w:rsidRPr="00E93830">
        <w:rPr>
          <w:i/>
          <w:iCs/>
        </w:rPr>
        <w:t xml:space="preserve"> </w:t>
      </w:r>
      <w:r w:rsidR="004304FB" w:rsidRPr="00E93830">
        <w:rPr>
          <w:i/>
          <w:iCs/>
        </w:rPr>
        <w:t>[8]</w:t>
      </w:r>
    </w:p>
    <w:p w14:paraId="099E3962" w14:textId="77777777" w:rsidR="00AE5F89" w:rsidRDefault="00AE5F89" w:rsidP="004304FB">
      <w:pPr>
        <w:spacing w:line="240" w:lineRule="auto"/>
        <w:ind w:left="720"/>
      </w:pPr>
    </w:p>
    <w:p w14:paraId="21F4189E" w14:textId="2C611E58" w:rsidR="00FF6496" w:rsidRDefault="00FF6496" w:rsidP="004304FB">
      <w:pPr>
        <w:spacing w:line="240" w:lineRule="auto"/>
        <w:ind w:left="720"/>
      </w:pPr>
    </w:p>
    <w:p w14:paraId="24D5F19C" w14:textId="5C792782" w:rsidR="00FF6496" w:rsidRDefault="00FF6496" w:rsidP="00FF6496">
      <w:pPr>
        <w:spacing w:line="240" w:lineRule="auto"/>
      </w:pPr>
    </w:p>
    <w:p w14:paraId="2EED908D" w14:textId="5222C014" w:rsidR="00FF6496" w:rsidRDefault="00FF6496" w:rsidP="00FF6496">
      <w:pPr>
        <w:spacing w:line="240" w:lineRule="auto"/>
      </w:pPr>
      <w:r>
        <w:tab/>
      </w:r>
      <w:r w:rsidR="00AE5F89">
        <w:t>So,</w:t>
      </w:r>
      <w:r>
        <w:t xml:space="preserve"> what can Data Scientists do? </w:t>
      </w:r>
    </w:p>
    <w:p w14:paraId="4F5FFE3F" w14:textId="30A9A1D0" w:rsidR="00FF6496" w:rsidRDefault="00FF6496" w:rsidP="00FF6496">
      <w:pPr>
        <w:spacing w:line="240" w:lineRule="auto"/>
      </w:pPr>
    </w:p>
    <w:p w14:paraId="76B163C1" w14:textId="03B89297" w:rsidR="00FF6496" w:rsidRDefault="00FF6496" w:rsidP="00FF6496">
      <w:r>
        <w:rPr>
          <w:b/>
          <w:bCs/>
        </w:rPr>
        <w:t xml:space="preserve">Better Climate Predictions </w:t>
      </w:r>
      <w:r>
        <w:t xml:space="preserve">- </w:t>
      </w:r>
      <w:r w:rsidRPr="00E93830">
        <w:rPr>
          <w:i/>
          <w:iCs/>
        </w:rPr>
        <w:t>Climate informatics</w:t>
      </w:r>
      <w:r w:rsidRPr="00FF6496">
        <w:t xml:space="preserve"> covers a range of topics from improving prediction of extreme events such as hurricanes, paleoclimatology, reconstructing past climate conditions using data collected from things like ice cores, climate downscaling, or using large-scale models to predict weather on a hyper-local level, and the socio-economic impacts of weather and climate.</w:t>
      </w:r>
      <w:r>
        <w:t xml:space="preserve"> </w:t>
      </w:r>
      <w:r w:rsidRPr="00FF6496">
        <w:t xml:space="preserve">AI can also unlock new insights from the massive amounts of complex climate simulations generated by the field of </w:t>
      </w:r>
      <w:r w:rsidRPr="00E93830">
        <w:rPr>
          <w:i/>
          <w:iCs/>
        </w:rPr>
        <w:t>climate modeling</w:t>
      </w:r>
      <w:r w:rsidRPr="00FF6496">
        <w:t xml:space="preserve">, which has come a long way since the first system was created at Princeton in the 1960s. Of the dozens of models that have since come into existence, all represent atmosphere, oceans, land, cryosphere, or ice. </w:t>
      </w:r>
      <w:r>
        <w:t>[10]</w:t>
      </w:r>
    </w:p>
    <w:p w14:paraId="4392236A" w14:textId="74115CAD" w:rsidR="00FF6496" w:rsidRDefault="00FF6496" w:rsidP="00FF6496">
      <w:r>
        <w:rPr>
          <w:b/>
          <w:bCs/>
        </w:rPr>
        <w:t>Showing the effects of extreme weather</w:t>
      </w:r>
      <w:r>
        <w:t xml:space="preserve"> – I personally became involved with MILA</w:t>
      </w:r>
      <w:r w:rsidR="00AE5F89">
        <w:t xml:space="preserve"> in a roundabout way. I began corresponding with Sasha Luccioni, a Postdoc working on a Python </w:t>
      </w:r>
      <w:r w:rsidR="00AE5F89">
        <w:lastRenderedPageBreak/>
        <w:t xml:space="preserve">library to calculate the carbon footprint of training Machine Learning models. I did some beta testing of the library and provided feedback and did a few pulls of the library on </w:t>
      </w:r>
      <w:proofErr w:type="spellStart"/>
      <w:r w:rsidR="00AE5F89">
        <w:t>Github</w:t>
      </w:r>
      <w:proofErr w:type="spellEnd"/>
      <w:r w:rsidR="00E93830">
        <w:t xml:space="preserve">. </w:t>
      </w:r>
      <w:r w:rsidR="000A6F85">
        <w:t>They have</w:t>
      </w:r>
      <w:r w:rsidR="00AE5F89">
        <w:t xml:space="preserve"> done some interesting </w:t>
      </w:r>
      <w:r w:rsidR="000A6F85">
        <w:t>(</w:t>
      </w:r>
      <w:r w:rsidR="00AE5F89">
        <w:t>and sobering</w:t>
      </w:r>
      <w:r w:rsidR="000A6F85">
        <w:t>)</w:t>
      </w:r>
      <w:r w:rsidR="00AE5F89">
        <w:t xml:space="preserve"> work with </w:t>
      </w:r>
      <w:r w:rsidR="00AE5F89" w:rsidRPr="00AE5F89">
        <w:t xml:space="preserve">GANs </w:t>
      </w:r>
      <w:r w:rsidR="00AE5F89">
        <w:t xml:space="preserve">(General Adversarial Networks) </w:t>
      </w:r>
      <w:r w:rsidR="00AE5F89" w:rsidRPr="00AE5F89">
        <w:t>to simulate what homes are likely to look like after being damaged by rising sea levels and more intense storms.</w:t>
      </w:r>
      <w:r w:rsidR="00AE5F89">
        <w:t xml:space="preserve"> [11]</w:t>
      </w:r>
    </w:p>
    <w:p w14:paraId="2DD540B5" w14:textId="413BB0D9" w:rsidR="00AE5F89" w:rsidRDefault="00AE5F89" w:rsidP="00FF6496">
      <w:r>
        <w:rPr>
          <w:b/>
          <w:bCs/>
        </w:rPr>
        <w:t xml:space="preserve">Measuring where carbon is coming from - </w:t>
      </w:r>
      <w:r w:rsidRPr="00AE5F89">
        <w:t>Carbon Tracker is an independent financial think-tank working toward the UN goal of preventing new coal plants from being built by 2020. By monitoring coal plant emissions with satellite imagery, Carbon Tracker can use the data it gathers to convince the finance industry that carbon plants aren't profitable.</w:t>
      </w:r>
      <w:r>
        <w:t xml:space="preserve"> [10]</w:t>
      </w:r>
    </w:p>
    <w:p w14:paraId="29FC4203" w14:textId="77777777" w:rsidR="000A6F85" w:rsidRDefault="000A6F85" w:rsidP="00FF6496"/>
    <w:p w14:paraId="2DA8B189" w14:textId="20869F11" w:rsidR="000A6F85" w:rsidRPr="000A6F85" w:rsidRDefault="000A6F85" w:rsidP="000A6F85">
      <w:pPr>
        <w:jc w:val="center"/>
        <w:rPr>
          <w:b/>
          <w:bCs/>
        </w:rPr>
      </w:pPr>
      <w:r w:rsidRPr="000A6F85">
        <w:rPr>
          <w:b/>
          <w:bCs/>
        </w:rPr>
        <w:t>My final conclusions:</w:t>
      </w:r>
    </w:p>
    <w:p w14:paraId="4349626E" w14:textId="7CEEBAC3" w:rsidR="000A6F85" w:rsidRDefault="000A6F85" w:rsidP="000A6F85">
      <w:pPr>
        <w:pStyle w:val="ListParagraph"/>
        <w:numPr>
          <w:ilvl w:val="0"/>
          <w:numId w:val="18"/>
        </w:numPr>
      </w:pPr>
      <w:r>
        <w:t>It is factually evident that residents produce considerably less greenhouse gas emissions than large industry.</w:t>
      </w:r>
    </w:p>
    <w:p w14:paraId="6D7FC652" w14:textId="0BA0CB1A" w:rsidR="000A6F85" w:rsidRDefault="000A6F85" w:rsidP="000A6F85">
      <w:pPr>
        <w:pStyle w:val="ListParagraph"/>
        <w:numPr>
          <w:ilvl w:val="0"/>
          <w:numId w:val="18"/>
        </w:numPr>
      </w:pPr>
      <w:r>
        <w:t xml:space="preserve">All of us </w:t>
      </w:r>
      <w:r w:rsidR="00580650">
        <w:t xml:space="preserve">can </w:t>
      </w:r>
      <w:r>
        <w:t xml:space="preserve">provide intangible pressure through such efforts as the </w:t>
      </w:r>
      <w:hyperlink r:id="rId14" w:history="1">
        <w:r w:rsidRPr="000A6F85">
          <w:rPr>
            <w:rStyle w:val="Hyperlink"/>
          </w:rPr>
          <w:t>Union of Concerned Scientists</w:t>
        </w:r>
      </w:hyperlink>
      <w:r>
        <w:t>.</w:t>
      </w:r>
    </w:p>
    <w:p w14:paraId="0165E94B" w14:textId="5B5E06E7" w:rsidR="000A6F85" w:rsidRPr="00AE5F89" w:rsidRDefault="000A6F85" w:rsidP="000A6F85">
      <w:pPr>
        <w:pStyle w:val="ListParagraph"/>
        <w:numPr>
          <w:ilvl w:val="0"/>
          <w:numId w:val="18"/>
        </w:numPr>
      </w:pPr>
      <w:r>
        <w:t xml:space="preserve">As Data Scientists, we possess the skills to </w:t>
      </w:r>
      <w:hyperlink r:id="rId15" w:history="1">
        <w:r w:rsidRPr="000A6F85">
          <w:rPr>
            <w:rStyle w:val="Hyperlink"/>
          </w:rPr>
          <w:t>drive climate change</w:t>
        </w:r>
      </w:hyperlink>
      <w:r>
        <w:t>.</w:t>
      </w:r>
    </w:p>
    <w:sdt>
      <w:sdtPr>
        <w:rPr>
          <w:rFonts w:asciiTheme="minorHAnsi" w:eastAsiaTheme="minorEastAsia" w:hAnsiTheme="minorHAnsi" w:cstheme="minorBidi"/>
        </w:rPr>
        <w:id w:val="-1096949615"/>
        <w:docPartObj>
          <w:docPartGallery w:val="Bibliographies"/>
          <w:docPartUnique/>
        </w:docPartObj>
      </w:sdtPr>
      <w:sdtEndPr/>
      <w:sdtContent>
        <w:p w14:paraId="7ADA040D" w14:textId="77777777" w:rsidR="00097169" w:rsidRPr="009D2A20" w:rsidRDefault="00097169" w:rsidP="00097169">
          <w:pPr>
            <w:pStyle w:val="SectionTitle"/>
            <w:rPr>
              <w:b/>
              <w:bCs/>
              <w:u w:val="single"/>
            </w:rPr>
          </w:pPr>
          <w:r w:rsidRPr="009D2A20">
            <w:rPr>
              <w:b/>
              <w:bCs/>
              <w:u w:val="single"/>
            </w:rPr>
            <w:t>References</w:t>
          </w:r>
        </w:p>
        <w:sdt>
          <w:sdtPr>
            <w:id w:val="-573587230"/>
            <w:bibliography/>
          </w:sdtPr>
          <w:sdtEndPr/>
          <w:sdtContent>
            <w:p w14:paraId="7B697F4E" w14:textId="4913EB64" w:rsidR="00D05ABD" w:rsidRPr="00D05ABD" w:rsidRDefault="00240AD6" w:rsidP="00240AD6">
              <w:pPr>
                <w:spacing w:line="240" w:lineRule="auto"/>
                <w:ind w:firstLine="0"/>
                <w:rPr>
                  <w:rFonts w:ascii="Helvetica" w:hAnsi="Helvetica" w:cs="Helvetica"/>
                  <w:b/>
                  <w:bCs/>
                  <w:color w:val="000000"/>
                  <w:sz w:val="18"/>
                  <w:szCs w:val="18"/>
                  <w:shd w:val="clear" w:color="auto" w:fill="FFFFFF"/>
                </w:rPr>
              </w:pPr>
              <w:r>
                <w:t xml:space="preserve">[1] </w:t>
              </w:r>
              <w:hyperlink r:id="rId16" w:history="1">
                <w:r>
                  <w:rPr>
                    <w:rStyle w:val="Hyperlink"/>
                    <w:rFonts w:ascii="Helvetica" w:hAnsi="Helvetica" w:cs="Helvetica"/>
                    <w:sz w:val="18"/>
                    <w:szCs w:val="18"/>
                    <w:shd w:val="clear" w:color="auto" w:fill="FFFFFF"/>
                  </w:rPr>
                  <w:t>arXiv:1906.05433</w:t>
                </w:r>
              </w:hyperlink>
              <w:r>
                <w:rPr>
                  <w:rFonts w:ascii="Helvetica" w:hAnsi="Helvetica" w:cs="Helvetica"/>
                  <w:b/>
                  <w:bCs/>
                  <w:color w:val="000000"/>
                  <w:sz w:val="18"/>
                  <w:szCs w:val="18"/>
                  <w:shd w:val="clear" w:color="auto" w:fill="FFFFFF"/>
                </w:rPr>
                <w:t> [cs.CY]</w:t>
              </w:r>
            </w:p>
            <w:p w14:paraId="4B3AE5C5" w14:textId="4AF91059" w:rsidR="00240AD6" w:rsidRDefault="00240AD6" w:rsidP="00240AD6">
              <w:pPr>
                <w:spacing w:line="240" w:lineRule="auto"/>
                <w:ind w:firstLine="0"/>
              </w:pPr>
            </w:p>
            <w:p w14:paraId="34C3BAC0" w14:textId="77777777" w:rsidR="00D05ABD" w:rsidRDefault="00D05ABD" w:rsidP="00D05ABD">
              <w:pPr>
                <w:spacing w:line="240" w:lineRule="auto"/>
                <w:ind w:firstLine="0"/>
              </w:pPr>
              <w:r>
                <w:t xml:space="preserve">[2] Sources of Greenhouse Gas Emissions </w:t>
              </w:r>
              <w:hyperlink r:id="rId17" w:history="1">
                <w:r w:rsidRPr="003F2AC7">
                  <w:rPr>
                    <w:rStyle w:val="Hyperlink"/>
                  </w:rPr>
                  <w:t>https://www.epa.gov/ghgemissions/sources-greenhouse-gas-emissions</w:t>
                </w:r>
              </w:hyperlink>
            </w:p>
            <w:p w14:paraId="4FF4F2AF" w14:textId="77777777" w:rsidR="00D05ABD" w:rsidRDefault="00D05ABD" w:rsidP="00240AD6">
              <w:pPr>
                <w:spacing w:line="240" w:lineRule="auto"/>
                <w:ind w:firstLine="0"/>
              </w:pPr>
            </w:p>
            <w:p w14:paraId="6244D9F9" w14:textId="77777777" w:rsidR="00D05ABD" w:rsidRDefault="00240AD6" w:rsidP="00D05ABD">
              <w:pPr>
                <w:spacing w:line="240" w:lineRule="auto"/>
                <w:ind w:firstLine="0"/>
              </w:pPr>
              <w:r>
                <w:t>[3]</w:t>
              </w:r>
              <w:r w:rsidR="00D05ABD">
                <w:t xml:space="preserve"> Christopher B Field, Vicente Barros, Thomas F Stocker, and Qin </w:t>
              </w:r>
              <w:proofErr w:type="spellStart"/>
              <w:r w:rsidR="00D05ABD">
                <w:t>Dahe</w:t>
              </w:r>
              <w:proofErr w:type="spellEnd"/>
              <w:r w:rsidR="00D05ABD">
                <w:t xml:space="preserve">. Managing the risks of extreme events and disasters to advance climate change adaptation: special report of the intergovernmental panel on climate change. Cambridge University Press, 2012. </w:t>
              </w:r>
            </w:p>
            <w:p w14:paraId="1DA579CB" w14:textId="77777777" w:rsidR="00240AD6" w:rsidRDefault="00240AD6" w:rsidP="00240AD6">
              <w:pPr>
                <w:spacing w:line="240" w:lineRule="auto"/>
                <w:ind w:firstLine="0"/>
              </w:pPr>
            </w:p>
            <w:p w14:paraId="0F8B6E53" w14:textId="6A28385C" w:rsidR="00097169" w:rsidRDefault="00240AD6" w:rsidP="00240AD6">
              <w:pPr>
                <w:spacing w:line="240" w:lineRule="auto"/>
                <w:ind w:firstLine="0"/>
              </w:pPr>
              <w:r>
                <w:t>[4] IPCC. Global warming of 1.5 ◦C. An IPCC special report on the impacts of global warming of 1.5 ◦C above pre-industrial levels and related global greenhouse gas emission pathways, in the context of strengthening the global response to the threat of climate change, sustainable development, and efforts to eradicate poverty [V. Masson-</w:t>
              </w:r>
              <w:proofErr w:type="spellStart"/>
              <w:r>
                <w:t>Delmotte</w:t>
              </w:r>
              <w:proofErr w:type="spellEnd"/>
              <w:r>
                <w:t xml:space="preserve">, P. </w:t>
              </w:r>
              <w:proofErr w:type="spellStart"/>
              <w:r>
                <w:t>Zhai</w:t>
              </w:r>
              <w:proofErr w:type="spellEnd"/>
              <w:r>
                <w:t xml:space="preserve">, H. O. </w:t>
              </w:r>
              <w:proofErr w:type="spellStart"/>
              <w:r>
                <w:t>Portner</w:t>
              </w:r>
              <w:proofErr w:type="spellEnd"/>
              <w:r>
                <w:t xml:space="preserve">, D. Roberts, J. </w:t>
              </w:r>
              <w:proofErr w:type="spellStart"/>
              <w:r>
                <w:t>Skea</w:t>
              </w:r>
              <w:proofErr w:type="spellEnd"/>
              <w:r>
                <w:t xml:space="preserve">, P.R. Shukla, A. Pirani, Y. Chen, S. Connors, ¨ M. </w:t>
              </w:r>
              <w:proofErr w:type="spellStart"/>
              <w:r>
                <w:t>Gomis</w:t>
              </w:r>
              <w:proofErr w:type="spellEnd"/>
              <w:r>
                <w:t xml:space="preserve">, E. </w:t>
              </w:r>
              <w:proofErr w:type="spellStart"/>
              <w:r>
                <w:t>Lonnoy</w:t>
              </w:r>
              <w:proofErr w:type="spellEnd"/>
              <w:r>
                <w:t xml:space="preserve">, J. B. R. Matthews, W. </w:t>
              </w:r>
              <w:proofErr w:type="spellStart"/>
              <w:r>
                <w:t>Moufouma-Okia</w:t>
              </w:r>
              <w:proofErr w:type="spellEnd"/>
              <w:r>
                <w:t xml:space="preserve">, C. Pean, R. </w:t>
              </w:r>
              <w:proofErr w:type="spellStart"/>
              <w:r>
                <w:t>Pidcock</w:t>
              </w:r>
              <w:proofErr w:type="spellEnd"/>
              <w:r>
                <w:t xml:space="preserve">, N. Reay, M. </w:t>
              </w:r>
              <w:proofErr w:type="spellStart"/>
              <w:r>
                <w:t>Tignor</w:t>
              </w:r>
              <w:proofErr w:type="spellEnd"/>
              <w:r>
                <w:t xml:space="preserve">, T. ´ Waterfield, X. Zhou (eds.)]. 2018. </w:t>
              </w:r>
            </w:p>
            <w:p w14:paraId="240721C7" w14:textId="40A7888A" w:rsidR="00266C31" w:rsidRDefault="00266C31" w:rsidP="00240AD6">
              <w:pPr>
                <w:spacing w:line="240" w:lineRule="auto"/>
                <w:ind w:firstLine="0"/>
              </w:pPr>
            </w:p>
            <w:p w14:paraId="762DE747" w14:textId="49B17E36" w:rsidR="00266C31" w:rsidRDefault="00266C31" w:rsidP="00240AD6">
              <w:pPr>
                <w:spacing w:line="240" w:lineRule="auto"/>
                <w:ind w:firstLine="0"/>
              </w:pPr>
              <w:r>
                <w:t xml:space="preserve">[5] Greenhouse Gas Inventory Data Explorer </w:t>
              </w:r>
              <w:hyperlink r:id="rId18" w:history="1">
                <w:r w:rsidRPr="003F2AC7">
                  <w:rPr>
                    <w:rStyle w:val="Hyperlink"/>
                  </w:rPr>
                  <w:t>https://cfpub.epa.gov/ghgdata/inventoryexplorer/</w:t>
                </w:r>
              </w:hyperlink>
            </w:p>
            <w:p w14:paraId="3943B369" w14:textId="75469C28" w:rsidR="00FC2D80" w:rsidRDefault="00FC2D80" w:rsidP="00240AD6">
              <w:pPr>
                <w:spacing w:line="240" w:lineRule="auto"/>
                <w:ind w:firstLine="0"/>
              </w:pPr>
            </w:p>
            <w:p w14:paraId="30E1A2A4" w14:textId="171723A1" w:rsidR="00FC2D80" w:rsidRDefault="00FC2D80" w:rsidP="00240AD6">
              <w:pPr>
                <w:spacing w:line="240" w:lineRule="auto"/>
                <w:ind w:firstLine="0"/>
              </w:pPr>
              <w:r>
                <w:t xml:space="preserve">[6] Carbon Emissions C. Bouley Jan 2020 </w:t>
              </w:r>
              <w:hyperlink r:id="rId19" w:history="1">
                <w:r w:rsidRPr="003F2AC7">
                  <w:rPr>
                    <w:rStyle w:val="Hyperlink"/>
                  </w:rPr>
                  <w:t>https://towardsdatascience.com/tagged/carbon-emissions</w:t>
                </w:r>
              </w:hyperlink>
            </w:p>
            <w:p w14:paraId="3881B173" w14:textId="33F234AE" w:rsidR="00FC2D80" w:rsidRDefault="00FC2D80" w:rsidP="00240AD6">
              <w:pPr>
                <w:spacing w:line="240" w:lineRule="auto"/>
                <w:ind w:firstLine="0"/>
              </w:pPr>
            </w:p>
            <w:p w14:paraId="29035F58" w14:textId="7BE89A8C" w:rsidR="00785642" w:rsidRDefault="00FC2D80" w:rsidP="00240AD6">
              <w:pPr>
                <w:spacing w:line="240" w:lineRule="auto"/>
                <w:ind w:firstLine="0"/>
                <w:rPr>
                  <w:rStyle w:val="Hyperlink"/>
                </w:rPr>
              </w:pPr>
              <w:r>
                <w:t xml:space="preserve">[7] </w:t>
              </w:r>
              <w:r w:rsidRPr="00FC2D80">
                <w:t>Fighting the Climate Crisis: 6 Future Game-Changers Made Possible by Deep Learning</w:t>
              </w:r>
              <w:r>
                <w:t xml:space="preserve"> D. Fleury Jan 2019 </w:t>
              </w:r>
              <w:hyperlink r:id="rId20" w:history="1">
                <w:r w:rsidRPr="003F2AC7">
                  <w:rPr>
                    <w:rStyle w:val="Hyperlink"/>
                  </w:rPr>
                  <w:t>https://towardsdatascience.com/fighting-the-climate-crisis-5-future-gamechangers-made-possible-by-deep-learning-f301f29f632c</w:t>
                </w:r>
              </w:hyperlink>
            </w:p>
            <w:p w14:paraId="257DE3B3" w14:textId="699500CC" w:rsidR="00785642" w:rsidRDefault="00785642" w:rsidP="00240AD6">
              <w:pPr>
                <w:spacing w:line="240" w:lineRule="auto"/>
                <w:ind w:firstLine="0"/>
                <w:rPr>
                  <w:rStyle w:val="Hyperlink"/>
                </w:rPr>
              </w:pPr>
            </w:p>
            <w:p w14:paraId="144C89D9" w14:textId="2B64F079" w:rsidR="00785642" w:rsidRDefault="00785642" w:rsidP="00240AD6">
              <w:pPr>
                <w:spacing w:line="240" w:lineRule="auto"/>
                <w:ind w:firstLine="0"/>
              </w:pPr>
              <w:r w:rsidRPr="00785642">
                <w:t>[8]</w:t>
              </w:r>
              <w:r>
                <w:t xml:space="preserve"> Global Greenhouse Gas Emissions Data </w:t>
              </w:r>
              <w:hyperlink r:id="rId21" w:history="1">
                <w:r w:rsidRPr="00C948C5">
                  <w:rPr>
                    <w:rStyle w:val="Hyperlink"/>
                  </w:rPr>
                  <w:t>https://www.epa.gov/ghgemissions/global-greenhouse-gas-emissions-data#Reference%201</w:t>
                </w:r>
              </w:hyperlink>
            </w:p>
            <w:p w14:paraId="379B59AC" w14:textId="77777777" w:rsidR="00785642" w:rsidRPr="00785642" w:rsidRDefault="00785642" w:rsidP="00240AD6">
              <w:pPr>
                <w:spacing w:line="240" w:lineRule="auto"/>
                <w:ind w:firstLine="0"/>
              </w:pPr>
            </w:p>
            <w:p w14:paraId="37E87744" w14:textId="2F6FF937" w:rsidR="00FC2D80" w:rsidRDefault="004304FB" w:rsidP="00240AD6">
              <w:pPr>
                <w:spacing w:line="240" w:lineRule="auto"/>
                <w:ind w:firstLine="0"/>
              </w:pPr>
              <w:r>
                <w:t xml:space="preserve">[9] Concerning Climate S. Willis Sept 2017 Towards Data Science </w:t>
              </w:r>
              <w:hyperlink r:id="rId22" w:history="1">
                <w:r w:rsidRPr="00C948C5">
                  <w:rPr>
                    <w:rStyle w:val="Hyperlink"/>
                  </w:rPr>
                  <w:t>https://towardsdatascience.com/https-medium-com-stephaniewillis808-concerning-climate-5a6b923eb8eb</w:t>
                </w:r>
              </w:hyperlink>
            </w:p>
            <w:p w14:paraId="602D6480" w14:textId="77777777" w:rsidR="004304FB" w:rsidRDefault="004304FB" w:rsidP="00240AD6">
              <w:pPr>
                <w:spacing w:line="240" w:lineRule="auto"/>
                <w:ind w:firstLine="0"/>
              </w:pPr>
            </w:p>
            <w:p w14:paraId="4B10FE78" w14:textId="54EB177B" w:rsidR="00266C31" w:rsidRDefault="00FF6496" w:rsidP="00240AD6">
              <w:pPr>
                <w:spacing w:line="240" w:lineRule="auto"/>
                <w:ind w:firstLine="0"/>
              </w:pPr>
              <w:r>
                <w:t xml:space="preserve">[10] How Artificial Intelligence can tackle climate change J. Snow July 2019 National Geographic </w:t>
              </w:r>
              <w:hyperlink r:id="rId23" w:history="1">
                <w:r w:rsidRPr="00C948C5">
                  <w:rPr>
                    <w:rStyle w:val="Hyperlink"/>
                  </w:rPr>
                  <w:t>https://www.nationalgeographic.com/environment/article/artificial-intelligence-climate-change</w:t>
                </w:r>
              </w:hyperlink>
            </w:p>
            <w:p w14:paraId="1A2528A8" w14:textId="655E2A75" w:rsidR="00FF6496" w:rsidRDefault="00FF6496" w:rsidP="00240AD6">
              <w:pPr>
                <w:spacing w:line="240" w:lineRule="auto"/>
                <w:ind w:firstLine="0"/>
              </w:pPr>
            </w:p>
            <w:p w14:paraId="688FB726" w14:textId="61CB542B" w:rsidR="00AE5F89" w:rsidRDefault="00AE5F89" w:rsidP="00240AD6">
              <w:pPr>
                <w:spacing w:line="240" w:lineRule="auto"/>
                <w:ind w:firstLine="0"/>
              </w:pPr>
              <w:r>
                <w:t xml:space="preserve">[11] Visualizing Climate Change </w:t>
              </w:r>
              <w:hyperlink r:id="rId24" w:history="1">
                <w:r w:rsidRPr="00C948C5">
                  <w:rPr>
                    <w:rStyle w:val="Hyperlink"/>
                  </w:rPr>
                  <w:t>https://mila.quebec/en/ai-society/visualizing-climate-change</w:t>
                </w:r>
              </w:hyperlink>
            </w:p>
            <w:p w14:paraId="6254BCCE" w14:textId="77777777" w:rsidR="00AE5F89" w:rsidRDefault="00AE5F89" w:rsidP="00240AD6">
              <w:pPr>
                <w:spacing w:line="240" w:lineRule="auto"/>
                <w:ind w:firstLine="0"/>
              </w:pPr>
            </w:p>
            <w:p w14:paraId="7314296F" w14:textId="77777777" w:rsidR="00097169" w:rsidRDefault="00CD5FE2"/>
          </w:sdtContent>
        </w:sdt>
      </w:sdtContent>
    </w:sdt>
    <w:sectPr w:rsidR="00097169">
      <w:headerReference w:type="default" r:id="rId25"/>
      <w:headerReference w:type="first" r:id="rId2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29AD1" w14:textId="77777777" w:rsidR="00CD5FE2" w:rsidRDefault="00CD5FE2">
      <w:pPr>
        <w:spacing w:line="240" w:lineRule="auto"/>
      </w:pPr>
      <w:r>
        <w:separator/>
      </w:r>
    </w:p>
    <w:p w14:paraId="47BA25B5" w14:textId="77777777" w:rsidR="00CD5FE2" w:rsidRDefault="00CD5FE2"/>
  </w:endnote>
  <w:endnote w:type="continuationSeparator" w:id="0">
    <w:p w14:paraId="4153782D" w14:textId="77777777" w:rsidR="00CD5FE2" w:rsidRDefault="00CD5FE2">
      <w:pPr>
        <w:spacing w:line="240" w:lineRule="auto"/>
      </w:pPr>
      <w:r>
        <w:continuationSeparator/>
      </w:r>
    </w:p>
    <w:p w14:paraId="3A3625EC" w14:textId="77777777" w:rsidR="00CD5FE2" w:rsidRDefault="00CD5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8122D" w14:textId="77777777" w:rsidR="00CD5FE2" w:rsidRDefault="00CD5FE2">
      <w:pPr>
        <w:spacing w:line="240" w:lineRule="auto"/>
      </w:pPr>
      <w:r>
        <w:separator/>
      </w:r>
    </w:p>
    <w:p w14:paraId="1C6E3033" w14:textId="77777777" w:rsidR="00CD5FE2" w:rsidRDefault="00CD5FE2"/>
  </w:footnote>
  <w:footnote w:type="continuationSeparator" w:id="0">
    <w:p w14:paraId="76CA2E1D" w14:textId="77777777" w:rsidR="00CD5FE2" w:rsidRDefault="00CD5FE2">
      <w:pPr>
        <w:spacing w:line="240" w:lineRule="auto"/>
      </w:pPr>
      <w:r>
        <w:continuationSeparator/>
      </w:r>
    </w:p>
    <w:p w14:paraId="4557FC74" w14:textId="77777777" w:rsidR="00CD5FE2" w:rsidRDefault="00CD5F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BDA2E16"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EED5E7A" w14:textId="1A4FE8FB" w:rsidR="004D6B86" w:rsidRPr="00170521" w:rsidRDefault="00CD5FE2"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bZSjSg=="/>
              <w15:appearance w15:val="hidden"/>
            </w:sdtPr>
            <w:sdtEndPr/>
            <w:sdtContent>
              <w:r w:rsidR="00240AD6">
                <w:t>Carbon Footprint</w:t>
              </w:r>
            </w:sdtContent>
          </w:sdt>
        </w:p>
      </w:tc>
      <w:tc>
        <w:tcPr>
          <w:tcW w:w="1080" w:type="dxa"/>
        </w:tcPr>
        <w:p w14:paraId="334E3F2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5C26D72F"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40AC51B7"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880C2E4" w14:textId="2A9E02A8" w:rsidR="004D6B86" w:rsidRPr="009F0414" w:rsidRDefault="00CD5FE2" w:rsidP="00504F88">
          <w:pPr>
            <w:pStyle w:val="Header"/>
          </w:pPr>
          <w:sdt>
            <w:sdtPr>
              <w:alias w:val="Enter shortened title:"/>
              <w:tag w:val="Enter shortened title:"/>
              <w:id w:val="-211583021"/>
              <w15:dataBinding w:prefixMappings="xmlns:ns0='http://schemas.microsoft.com/temp/samples' " w:xpath="/ns0:employees[1]/ns0:employee[1]/ns0:CustomerName[1]" w:storeItemID="{B98E728A-96FF-4995-885C-5AF887AB0C35}" w16sdtdh:storeItemChecksum="bZSjSg=="/>
              <w15:appearance w15:val="hidden"/>
            </w:sdtPr>
            <w:sdtEndPr/>
            <w:sdtContent>
              <w:r w:rsidR="00240AD6">
                <w:t>Carbon Footprint</w:t>
              </w:r>
            </w:sdtContent>
          </w:sdt>
        </w:p>
      </w:tc>
      <w:tc>
        <w:tcPr>
          <w:tcW w:w="1080" w:type="dxa"/>
        </w:tcPr>
        <w:p w14:paraId="5EC18230"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2DC7B100"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0D2E8E"/>
    <w:multiLevelType w:val="hybridMultilevel"/>
    <w:tmpl w:val="7F50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5010A"/>
    <w:multiLevelType w:val="hybridMultilevel"/>
    <w:tmpl w:val="2F183C0C"/>
    <w:lvl w:ilvl="0" w:tplc="30EE6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BB724F"/>
    <w:multiLevelType w:val="hybridMultilevel"/>
    <w:tmpl w:val="18B2E2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790B37"/>
    <w:multiLevelType w:val="hybridMultilevel"/>
    <w:tmpl w:val="FBCC8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DF56E0"/>
    <w:multiLevelType w:val="hybridMultilevel"/>
    <w:tmpl w:val="55840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51713F"/>
    <w:multiLevelType w:val="hybridMultilevel"/>
    <w:tmpl w:val="BA84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A4218C"/>
    <w:multiLevelType w:val="multilevel"/>
    <w:tmpl w:val="827C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1"/>
  </w:num>
  <w:num w:numId="15">
    <w:abstractNumId w:val="14"/>
  </w:num>
  <w:num w:numId="16">
    <w:abstractNumId w:val="1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60"/>
    <w:rsid w:val="00006BBA"/>
    <w:rsid w:val="0001010E"/>
    <w:rsid w:val="000217F5"/>
    <w:rsid w:val="00032AA1"/>
    <w:rsid w:val="000739C7"/>
    <w:rsid w:val="00097169"/>
    <w:rsid w:val="000A6F85"/>
    <w:rsid w:val="000C684F"/>
    <w:rsid w:val="00114BFA"/>
    <w:rsid w:val="001602E3"/>
    <w:rsid w:val="00160C0C"/>
    <w:rsid w:val="001664A2"/>
    <w:rsid w:val="00170521"/>
    <w:rsid w:val="001862CA"/>
    <w:rsid w:val="001B2499"/>
    <w:rsid w:val="001B4848"/>
    <w:rsid w:val="001F1599"/>
    <w:rsid w:val="001F447A"/>
    <w:rsid w:val="001F7399"/>
    <w:rsid w:val="00212319"/>
    <w:rsid w:val="00225BE3"/>
    <w:rsid w:val="00226757"/>
    <w:rsid w:val="00240AD6"/>
    <w:rsid w:val="00266C31"/>
    <w:rsid w:val="00274E0A"/>
    <w:rsid w:val="002A0940"/>
    <w:rsid w:val="002B44E4"/>
    <w:rsid w:val="002B6153"/>
    <w:rsid w:val="002C627C"/>
    <w:rsid w:val="0030718E"/>
    <w:rsid w:val="00307586"/>
    <w:rsid w:val="0032462F"/>
    <w:rsid w:val="00336906"/>
    <w:rsid w:val="00345333"/>
    <w:rsid w:val="00346FDD"/>
    <w:rsid w:val="00357AED"/>
    <w:rsid w:val="003A06C6"/>
    <w:rsid w:val="003E36B1"/>
    <w:rsid w:val="003E4162"/>
    <w:rsid w:val="003F7CBD"/>
    <w:rsid w:val="00422AAC"/>
    <w:rsid w:val="004304FB"/>
    <w:rsid w:val="0046642A"/>
    <w:rsid w:val="00481CF8"/>
    <w:rsid w:val="00492C2D"/>
    <w:rsid w:val="004A3D87"/>
    <w:rsid w:val="004B18A9"/>
    <w:rsid w:val="004D4148"/>
    <w:rsid w:val="004D4F8C"/>
    <w:rsid w:val="004D6B86"/>
    <w:rsid w:val="004E0CCB"/>
    <w:rsid w:val="004E40B2"/>
    <w:rsid w:val="00504F88"/>
    <w:rsid w:val="0055242C"/>
    <w:rsid w:val="005647C1"/>
    <w:rsid w:val="00580650"/>
    <w:rsid w:val="00594E1B"/>
    <w:rsid w:val="00595412"/>
    <w:rsid w:val="0061747E"/>
    <w:rsid w:val="00624302"/>
    <w:rsid w:val="00641876"/>
    <w:rsid w:val="00645290"/>
    <w:rsid w:val="00684C26"/>
    <w:rsid w:val="006B015B"/>
    <w:rsid w:val="006C162F"/>
    <w:rsid w:val="006D7EE9"/>
    <w:rsid w:val="007078D0"/>
    <w:rsid w:val="007104CD"/>
    <w:rsid w:val="0071450D"/>
    <w:rsid w:val="007244DE"/>
    <w:rsid w:val="007248FC"/>
    <w:rsid w:val="00766A72"/>
    <w:rsid w:val="00785642"/>
    <w:rsid w:val="00794EAF"/>
    <w:rsid w:val="0081390C"/>
    <w:rsid w:val="00816831"/>
    <w:rsid w:val="00837D67"/>
    <w:rsid w:val="008747E8"/>
    <w:rsid w:val="008A2A83"/>
    <w:rsid w:val="008A78F1"/>
    <w:rsid w:val="008B185E"/>
    <w:rsid w:val="008C79D5"/>
    <w:rsid w:val="008D2660"/>
    <w:rsid w:val="00910F0E"/>
    <w:rsid w:val="0093586F"/>
    <w:rsid w:val="00961AE5"/>
    <w:rsid w:val="009A2C38"/>
    <w:rsid w:val="009D2A20"/>
    <w:rsid w:val="009F0414"/>
    <w:rsid w:val="00A14DAC"/>
    <w:rsid w:val="00A4757D"/>
    <w:rsid w:val="00A5392F"/>
    <w:rsid w:val="00A77F6B"/>
    <w:rsid w:val="00A81BB2"/>
    <w:rsid w:val="00A93657"/>
    <w:rsid w:val="00AA5C05"/>
    <w:rsid w:val="00AB38E2"/>
    <w:rsid w:val="00AE5F89"/>
    <w:rsid w:val="00B03BA4"/>
    <w:rsid w:val="00B31D5C"/>
    <w:rsid w:val="00BD4955"/>
    <w:rsid w:val="00C2765B"/>
    <w:rsid w:val="00C3438C"/>
    <w:rsid w:val="00C47F79"/>
    <w:rsid w:val="00C5686B"/>
    <w:rsid w:val="00C65FBC"/>
    <w:rsid w:val="00C74024"/>
    <w:rsid w:val="00C83B15"/>
    <w:rsid w:val="00C925C8"/>
    <w:rsid w:val="00CA0A1D"/>
    <w:rsid w:val="00CA66FC"/>
    <w:rsid w:val="00CB7F84"/>
    <w:rsid w:val="00CC456C"/>
    <w:rsid w:val="00CD5FE2"/>
    <w:rsid w:val="00CF1B55"/>
    <w:rsid w:val="00D05ABD"/>
    <w:rsid w:val="00DB2E59"/>
    <w:rsid w:val="00DB358F"/>
    <w:rsid w:val="00DC44F1"/>
    <w:rsid w:val="00DF6D26"/>
    <w:rsid w:val="00E3700A"/>
    <w:rsid w:val="00E7305D"/>
    <w:rsid w:val="00E76C38"/>
    <w:rsid w:val="00E93830"/>
    <w:rsid w:val="00EA780C"/>
    <w:rsid w:val="00EB69D3"/>
    <w:rsid w:val="00EB7C76"/>
    <w:rsid w:val="00F31D66"/>
    <w:rsid w:val="00F363EC"/>
    <w:rsid w:val="00F413AC"/>
    <w:rsid w:val="00F42A75"/>
    <w:rsid w:val="00FC2BA1"/>
    <w:rsid w:val="00FC2D80"/>
    <w:rsid w:val="00FD5520"/>
    <w:rsid w:val="00FE725C"/>
    <w:rsid w:val="00FF56FE"/>
    <w:rsid w:val="00FF6496"/>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499E34"/>
  <w15:chartTrackingRefBased/>
  <w15:docId w15:val="{ED2C2789-9952-4B65-9361-0942E259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8D2660"/>
    <w:rPr>
      <w:color w:val="0000FF"/>
      <w:u w:val="single"/>
    </w:rPr>
  </w:style>
  <w:style w:type="character" w:styleId="UnresolvedMention">
    <w:name w:val="Unresolved Mention"/>
    <w:basedOn w:val="DefaultParagraphFont"/>
    <w:uiPriority w:val="99"/>
    <w:semiHidden/>
    <w:unhideWhenUsed/>
    <w:rsid w:val="008D2660"/>
    <w:rPr>
      <w:color w:val="605E5C"/>
      <w:shd w:val="clear" w:color="auto" w:fill="E1DFDD"/>
    </w:rPr>
  </w:style>
  <w:style w:type="character" w:styleId="Strong">
    <w:name w:val="Strong"/>
    <w:basedOn w:val="DefaultParagraphFont"/>
    <w:uiPriority w:val="22"/>
    <w:qFormat/>
    <w:rsid w:val="009358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70845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981804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92099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cfpub.epa.gov/ghgdata/inventoryexplorer/" TargetMode="External"/><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epa.gov/ghgemissions/global-greenhouse-gas-emissions-data#Reference%201" TargetMode="External"/><Relationship Id="rId7" Type="http://schemas.openxmlformats.org/officeDocument/2006/relationships/footnotes" Target="footnotes.xml"/><Relationship Id="rId12" Type="http://schemas.openxmlformats.org/officeDocument/2006/relationships/hyperlink" Target="https://www.ucsusa.org/resources/each-countrys-share-co2-emissions" TargetMode="External"/><Relationship Id="rId17" Type="http://schemas.openxmlformats.org/officeDocument/2006/relationships/hyperlink" Target="https://www.epa.gov/ghgemissions/sources-greenhouse-gas-emission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rxiv.org/abs/1906.05433" TargetMode="External"/><Relationship Id="rId20" Type="http://schemas.openxmlformats.org/officeDocument/2006/relationships/hyperlink" Target="https://towardsdatascience.com/fighting-the-climate-crisis-5-future-gamechangers-made-possible-by-deep-learning-f301f29f632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mila.quebec/en/ai-society/visualizing-climate-change" TargetMode="External"/><Relationship Id="rId5" Type="http://schemas.openxmlformats.org/officeDocument/2006/relationships/settings" Target="settings.xml"/><Relationship Id="rId15" Type="http://schemas.openxmlformats.org/officeDocument/2006/relationships/hyperlink" Target="https://www.nationalgeographic.com/environment/article/artificial-intelligence-climate-change" TargetMode="External"/><Relationship Id="rId23" Type="http://schemas.openxmlformats.org/officeDocument/2006/relationships/hyperlink" Target="https://www.nationalgeographic.com/environment/article/artificial-intelligence-climate-change"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towardsdatascience.com/tagged/carbon-emissions" TargetMode="Externa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yperlink" Target="https://www.ucsusa.org/climate" TargetMode="External"/><Relationship Id="rId22" Type="http://schemas.openxmlformats.org/officeDocument/2006/relationships/hyperlink" Target="https://towardsdatascience.com/https-medium-com-stephaniewillis808-concerning-climate-5a6b923eb8eb"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APA%20style%20paper.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 Greenhouse Gas Emission by Economic Sector, 1990 - 2019</a:t>
            </a:r>
          </a:p>
          <a:p>
            <a:pPr>
              <a:defRPr/>
            </a:pPr>
            <a:r>
              <a:rPr lang="en-US" sz="1100"/>
              <a:t>source U.S. EPA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data!$A$2</c:f>
              <c:strCache>
                <c:ptCount val="1"/>
                <c:pt idx="0">
                  <c:v>Transportation</c:v>
                </c:pt>
              </c:strCache>
            </c:strRef>
          </c:tx>
          <c:spPr>
            <a:ln w="28575" cap="rnd">
              <a:solidFill>
                <a:schemeClr val="accent1"/>
              </a:solidFill>
              <a:round/>
            </a:ln>
            <a:effectLst/>
          </c:spPr>
          <c:marker>
            <c:symbol val="none"/>
          </c:marker>
          <c:cat>
            <c:numRef>
              <c:f>data!$B$1:$AE$1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data!$B$2:$AE$2</c:f>
              <c:numCache>
                <c:formatCode>General</c:formatCode>
                <c:ptCount val="30"/>
                <c:pt idx="0">
                  <c:v>1526.6227940000001</c:v>
                </c:pt>
                <c:pt idx="1">
                  <c:v>1480.4890439999999</c:v>
                </c:pt>
                <c:pt idx="2">
                  <c:v>1540.034504</c:v>
                </c:pt>
                <c:pt idx="3">
                  <c:v>1577.034801</c:v>
                </c:pt>
                <c:pt idx="4">
                  <c:v>1631.976758</c:v>
                </c:pt>
                <c:pt idx="5">
                  <c:v>1667.146555</c:v>
                </c:pt>
                <c:pt idx="6">
                  <c:v>1723.370543</c:v>
                </c:pt>
                <c:pt idx="7">
                  <c:v>1749.961462</c:v>
                </c:pt>
                <c:pt idx="8">
                  <c:v>1792.4122110000001</c:v>
                </c:pt>
                <c:pt idx="9">
                  <c:v>1863.40094</c:v>
                </c:pt>
                <c:pt idx="10">
                  <c:v>1913.656839</c:v>
                </c:pt>
                <c:pt idx="11">
                  <c:v>1885.5522100000001</c:v>
                </c:pt>
                <c:pt idx="12">
                  <c:v>1926.0900389999999</c:v>
                </c:pt>
                <c:pt idx="13">
                  <c:v>1933.4337760000001</c:v>
                </c:pt>
                <c:pt idx="14">
                  <c:v>1965.962902</c:v>
                </c:pt>
                <c:pt idx="15">
                  <c:v>1975.58808</c:v>
                </c:pt>
                <c:pt idx="16">
                  <c:v>1975.9168460000001</c:v>
                </c:pt>
                <c:pt idx="17">
                  <c:v>1974.4031709999999</c:v>
                </c:pt>
                <c:pt idx="18">
                  <c:v>1870.832363</c:v>
                </c:pt>
                <c:pt idx="19">
                  <c:v>1796.198799</c:v>
                </c:pt>
                <c:pt idx="20">
                  <c:v>1802.1548089999999</c:v>
                </c:pt>
                <c:pt idx="21">
                  <c:v>1769.063259</c:v>
                </c:pt>
                <c:pt idx="22">
                  <c:v>1749.4247989999999</c:v>
                </c:pt>
                <c:pt idx="23">
                  <c:v>1751.910826</c:v>
                </c:pt>
                <c:pt idx="24">
                  <c:v>1785.9202210000001</c:v>
                </c:pt>
                <c:pt idx="25">
                  <c:v>1794.0544560000001</c:v>
                </c:pt>
                <c:pt idx="26">
                  <c:v>1829.968791</c:v>
                </c:pt>
                <c:pt idx="27">
                  <c:v>1847.329197</c:v>
                </c:pt>
                <c:pt idx="28">
                  <c:v>1878.1990370000001</c:v>
                </c:pt>
                <c:pt idx="29">
                  <c:v>1875.7305879999999</c:v>
                </c:pt>
              </c:numCache>
            </c:numRef>
          </c:val>
          <c:smooth val="0"/>
          <c:extLst>
            <c:ext xmlns:c16="http://schemas.microsoft.com/office/drawing/2014/chart" uri="{C3380CC4-5D6E-409C-BE32-E72D297353CC}">
              <c16:uniqueId val="{00000000-1E29-4E35-9F01-4809740A151B}"/>
            </c:ext>
          </c:extLst>
        </c:ser>
        <c:ser>
          <c:idx val="1"/>
          <c:order val="1"/>
          <c:tx>
            <c:strRef>
              <c:f>data!$A$3</c:f>
              <c:strCache>
                <c:ptCount val="1"/>
                <c:pt idx="0">
                  <c:v>Electricity generation</c:v>
                </c:pt>
              </c:strCache>
            </c:strRef>
          </c:tx>
          <c:spPr>
            <a:ln w="28575" cap="rnd">
              <a:solidFill>
                <a:schemeClr val="accent2"/>
              </a:solidFill>
              <a:round/>
            </a:ln>
            <a:effectLst/>
          </c:spPr>
          <c:marker>
            <c:symbol val="none"/>
          </c:marker>
          <c:cat>
            <c:numRef>
              <c:f>data!$B$1:$AE$1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data!$B$3:$AE$3</c:f>
              <c:numCache>
                <c:formatCode>General</c:formatCode>
                <c:ptCount val="30"/>
                <c:pt idx="0">
                  <c:v>1875.7054230000001</c:v>
                </c:pt>
                <c:pt idx="1">
                  <c:v>1871.7282110000001</c:v>
                </c:pt>
                <c:pt idx="2">
                  <c:v>1886.715101</c:v>
                </c:pt>
                <c:pt idx="3">
                  <c:v>1962.4709130000001</c:v>
                </c:pt>
                <c:pt idx="4">
                  <c:v>1987.274097</c:v>
                </c:pt>
                <c:pt idx="5">
                  <c:v>2003.999184</c:v>
                </c:pt>
                <c:pt idx="6">
                  <c:v>2077.0648919999999</c:v>
                </c:pt>
                <c:pt idx="7">
                  <c:v>2143.2256389999998</c:v>
                </c:pt>
                <c:pt idx="8">
                  <c:v>2229.7408350000001</c:v>
                </c:pt>
                <c:pt idx="9">
                  <c:v>2243.7919919999999</c:v>
                </c:pt>
                <c:pt idx="10">
                  <c:v>2349.5107250000001</c:v>
                </c:pt>
                <c:pt idx="11">
                  <c:v>2310.0083089999998</c:v>
                </c:pt>
                <c:pt idx="12">
                  <c:v>2325.8608119999999</c:v>
                </c:pt>
                <c:pt idx="13">
                  <c:v>2357.17254</c:v>
                </c:pt>
                <c:pt idx="14">
                  <c:v>2390.2102279999999</c:v>
                </c:pt>
                <c:pt idx="15">
                  <c:v>2456.2583850000001</c:v>
                </c:pt>
                <c:pt idx="16">
                  <c:v>2399.583772</c:v>
                </c:pt>
                <c:pt idx="17">
                  <c:v>2466.2646850000001</c:v>
                </c:pt>
                <c:pt idx="18">
                  <c:v>2412.4609810000002</c:v>
                </c:pt>
                <c:pt idx="19">
                  <c:v>2196.270145</c:v>
                </c:pt>
                <c:pt idx="20">
                  <c:v>2311.9288750000001</c:v>
                </c:pt>
                <c:pt idx="21">
                  <c:v>2209.297928</c:v>
                </c:pt>
                <c:pt idx="22">
                  <c:v>2071.205645</c:v>
                </c:pt>
                <c:pt idx="23">
                  <c:v>2089.977324</c:v>
                </c:pt>
                <c:pt idx="24">
                  <c:v>2090.1244980000001</c:v>
                </c:pt>
                <c:pt idx="25">
                  <c:v>1950.021956</c:v>
                </c:pt>
                <c:pt idx="26">
                  <c:v>1857.612566</c:v>
                </c:pt>
                <c:pt idx="27">
                  <c:v>1778.8516830000001</c:v>
                </c:pt>
                <c:pt idx="28">
                  <c:v>1798.044517</c:v>
                </c:pt>
                <c:pt idx="29">
                  <c:v>1648.1114700000001</c:v>
                </c:pt>
              </c:numCache>
            </c:numRef>
          </c:val>
          <c:smooth val="0"/>
          <c:extLst>
            <c:ext xmlns:c16="http://schemas.microsoft.com/office/drawing/2014/chart" uri="{C3380CC4-5D6E-409C-BE32-E72D297353CC}">
              <c16:uniqueId val="{00000001-1E29-4E35-9F01-4809740A151B}"/>
            </c:ext>
          </c:extLst>
        </c:ser>
        <c:ser>
          <c:idx val="2"/>
          <c:order val="2"/>
          <c:tx>
            <c:strRef>
              <c:f>data!$A$4</c:f>
              <c:strCache>
                <c:ptCount val="1"/>
                <c:pt idx="0">
                  <c:v>Industry</c:v>
                </c:pt>
              </c:strCache>
            </c:strRef>
          </c:tx>
          <c:spPr>
            <a:ln w="28575" cap="rnd">
              <a:solidFill>
                <a:schemeClr val="accent3"/>
              </a:solidFill>
              <a:round/>
            </a:ln>
            <a:effectLst/>
          </c:spPr>
          <c:marker>
            <c:symbol val="none"/>
          </c:marker>
          <c:cat>
            <c:numRef>
              <c:f>data!$B$1:$AE$1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data!$B$4:$AE$4</c:f>
              <c:numCache>
                <c:formatCode>General</c:formatCode>
                <c:ptCount val="30"/>
                <c:pt idx="0">
                  <c:v>1640.708734</c:v>
                </c:pt>
                <c:pt idx="1">
                  <c:v>1613.5610939999999</c:v>
                </c:pt>
                <c:pt idx="2">
                  <c:v>1649.06042</c:v>
                </c:pt>
                <c:pt idx="3">
                  <c:v>1620.199787</c:v>
                </c:pt>
                <c:pt idx="4">
                  <c:v>1645.608862</c:v>
                </c:pt>
                <c:pt idx="5">
                  <c:v>1662.5247959999999</c:v>
                </c:pt>
                <c:pt idx="6">
                  <c:v>1691.9031560000001</c:v>
                </c:pt>
                <c:pt idx="7">
                  <c:v>1691.2728649999999</c:v>
                </c:pt>
                <c:pt idx="8">
                  <c:v>1661.799988</c:v>
                </c:pt>
                <c:pt idx="9">
                  <c:v>1609.284251</c:v>
                </c:pt>
                <c:pt idx="10">
                  <c:v>1598.823879</c:v>
                </c:pt>
                <c:pt idx="11">
                  <c:v>1549.2115550000001</c:v>
                </c:pt>
                <c:pt idx="12">
                  <c:v>1532.114174</c:v>
                </c:pt>
                <c:pt idx="13">
                  <c:v>1510.7965369999999</c:v>
                </c:pt>
                <c:pt idx="14">
                  <c:v>1559.4891170000001</c:v>
                </c:pt>
                <c:pt idx="15">
                  <c:v>1518.818477</c:v>
                </c:pt>
                <c:pt idx="16">
                  <c:v>1550.1578239999999</c:v>
                </c:pt>
                <c:pt idx="17">
                  <c:v>1541.17254</c:v>
                </c:pt>
                <c:pt idx="18">
                  <c:v>1481.465809</c:v>
                </c:pt>
                <c:pt idx="19">
                  <c:v>1326.811606</c:v>
                </c:pt>
                <c:pt idx="20">
                  <c:v>1418.1360830000001</c:v>
                </c:pt>
                <c:pt idx="21">
                  <c:v>1421.7673090000001</c:v>
                </c:pt>
                <c:pt idx="22">
                  <c:v>1415.4429970000001</c:v>
                </c:pt>
                <c:pt idx="23">
                  <c:v>1466.4936499999999</c:v>
                </c:pt>
                <c:pt idx="24">
                  <c:v>1450.9829440000001</c:v>
                </c:pt>
                <c:pt idx="25">
                  <c:v>1441.612574</c:v>
                </c:pt>
                <c:pt idx="26">
                  <c:v>1402.2240529999999</c:v>
                </c:pt>
                <c:pt idx="27">
                  <c:v>1423.414702</c:v>
                </c:pt>
                <c:pt idx="28">
                  <c:v>1483.289677</c:v>
                </c:pt>
                <c:pt idx="29">
                  <c:v>1504.8312229999999</c:v>
                </c:pt>
              </c:numCache>
            </c:numRef>
          </c:val>
          <c:smooth val="0"/>
          <c:extLst>
            <c:ext xmlns:c16="http://schemas.microsoft.com/office/drawing/2014/chart" uri="{C3380CC4-5D6E-409C-BE32-E72D297353CC}">
              <c16:uniqueId val="{00000002-1E29-4E35-9F01-4809740A151B}"/>
            </c:ext>
          </c:extLst>
        </c:ser>
        <c:ser>
          <c:idx val="3"/>
          <c:order val="3"/>
          <c:tx>
            <c:strRef>
              <c:f>data!$A$5</c:f>
              <c:strCache>
                <c:ptCount val="1"/>
                <c:pt idx="0">
                  <c:v>Agriculture</c:v>
                </c:pt>
              </c:strCache>
            </c:strRef>
          </c:tx>
          <c:spPr>
            <a:ln w="28575" cap="rnd">
              <a:solidFill>
                <a:schemeClr val="accent4"/>
              </a:solidFill>
              <a:round/>
            </a:ln>
            <a:effectLst/>
          </c:spPr>
          <c:marker>
            <c:symbol val="none"/>
          </c:marker>
          <c:cat>
            <c:numRef>
              <c:f>data!$B$1:$AE$1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data!$B$5:$AE$5</c:f>
              <c:numCache>
                <c:formatCode>General</c:formatCode>
                <c:ptCount val="30"/>
                <c:pt idx="0">
                  <c:v>600.1792825</c:v>
                </c:pt>
                <c:pt idx="1">
                  <c:v>590.84810000000004</c:v>
                </c:pt>
                <c:pt idx="2">
                  <c:v>591.68013429999996</c:v>
                </c:pt>
                <c:pt idx="3">
                  <c:v>619.76175339999998</c:v>
                </c:pt>
                <c:pt idx="4">
                  <c:v>606.98718299999996</c:v>
                </c:pt>
                <c:pt idx="5">
                  <c:v>619.21785439999996</c:v>
                </c:pt>
                <c:pt idx="6">
                  <c:v>626.18103659999997</c:v>
                </c:pt>
                <c:pt idx="7">
                  <c:v>614.72038329999998</c:v>
                </c:pt>
                <c:pt idx="8">
                  <c:v>621.81549280000002</c:v>
                </c:pt>
                <c:pt idx="9">
                  <c:v>612.74028910000004</c:v>
                </c:pt>
                <c:pt idx="10">
                  <c:v>598.05111450000004</c:v>
                </c:pt>
                <c:pt idx="11">
                  <c:v>618.92745679999996</c:v>
                </c:pt>
                <c:pt idx="12">
                  <c:v>621.90641210000001</c:v>
                </c:pt>
                <c:pt idx="13">
                  <c:v>622.35748149999995</c:v>
                </c:pt>
                <c:pt idx="14">
                  <c:v>635.02401280000004</c:v>
                </c:pt>
                <c:pt idx="15">
                  <c:v>629.70418059999997</c:v>
                </c:pt>
                <c:pt idx="16">
                  <c:v>628.94212930000003</c:v>
                </c:pt>
                <c:pt idx="17">
                  <c:v>646.13632199999995</c:v>
                </c:pt>
                <c:pt idx="18">
                  <c:v>634.27103120000004</c:v>
                </c:pt>
                <c:pt idx="19">
                  <c:v>636.18357040000001</c:v>
                </c:pt>
                <c:pt idx="20">
                  <c:v>644.51892250000003</c:v>
                </c:pt>
                <c:pt idx="21">
                  <c:v>625.86767150000003</c:v>
                </c:pt>
                <c:pt idx="22">
                  <c:v>609.51474759999996</c:v>
                </c:pt>
                <c:pt idx="23">
                  <c:v>647.86622220000004</c:v>
                </c:pt>
                <c:pt idx="24">
                  <c:v>657.5386254</c:v>
                </c:pt>
                <c:pt idx="25">
                  <c:v>658.4755553</c:v>
                </c:pt>
                <c:pt idx="26">
                  <c:v>645.77937269999995</c:v>
                </c:pt>
                <c:pt idx="27">
                  <c:v>646.55648450000001</c:v>
                </c:pt>
                <c:pt idx="28">
                  <c:v>661.97056610000004</c:v>
                </c:pt>
                <c:pt idx="29">
                  <c:v>669.45969379999997</c:v>
                </c:pt>
              </c:numCache>
            </c:numRef>
          </c:val>
          <c:smooth val="0"/>
          <c:extLst>
            <c:ext xmlns:c16="http://schemas.microsoft.com/office/drawing/2014/chart" uri="{C3380CC4-5D6E-409C-BE32-E72D297353CC}">
              <c16:uniqueId val="{00000003-1E29-4E35-9F01-4809740A151B}"/>
            </c:ext>
          </c:extLst>
        </c:ser>
        <c:ser>
          <c:idx val="4"/>
          <c:order val="4"/>
          <c:tx>
            <c:strRef>
              <c:f>data!$A$6</c:f>
              <c:strCache>
                <c:ptCount val="1"/>
                <c:pt idx="0">
                  <c:v>Commercial</c:v>
                </c:pt>
              </c:strCache>
            </c:strRef>
          </c:tx>
          <c:spPr>
            <a:ln w="28575" cap="rnd">
              <a:solidFill>
                <a:schemeClr val="accent5"/>
              </a:solidFill>
              <a:round/>
            </a:ln>
            <a:effectLst/>
          </c:spPr>
          <c:marker>
            <c:symbol val="none"/>
          </c:marker>
          <c:cat>
            <c:numRef>
              <c:f>data!$B$1:$AE$1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data!$B$6:$AE$6</c:f>
              <c:numCache>
                <c:formatCode>General</c:formatCode>
                <c:ptCount val="30"/>
                <c:pt idx="0">
                  <c:v>429.2010775</c:v>
                </c:pt>
                <c:pt idx="1">
                  <c:v>436.45719789999998</c:v>
                </c:pt>
                <c:pt idx="2">
                  <c:v>432.1250033</c:v>
                </c:pt>
                <c:pt idx="3">
                  <c:v>425.58436019999999</c:v>
                </c:pt>
                <c:pt idx="4">
                  <c:v>428.86778429999998</c:v>
                </c:pt>
                <c:pt idx="5">
                  <c:v>427.99469069999998</c:v>
                </c:pt>
                <c:pt idx="6">
                  <c:v>435.6505406</c:v>
                </c:pt>
                <c:pt idx="7">
                  <c:v>428.15167070000001</c:v>
                </c:pt>
                <c:pt idx="8">
                  <c:v>402.95741720000001</c:v>
                </c:pt>
                <c:pt idx="9">
                  <c:v>399.4297823</c:v>
                </c:pt>
                <c:pt idx="10">
                  <c:v>413.73835200000002</c:v>
                </c:pt>
                <c:pt idx="11">
                  <c:v>402.74375680000003</c:v>
                </c:pt>
                <c:pt idx="12">
                  <c:v>404.31040739999997</c:v>
                </c:pt>
                <c:pt idx="13">
                  <c:v>420.58694000000003</c:v>
                </c:pt>
                <c:pt idx="14">
                  <c:v>418.45042660000001</c:v>
                </c:pt>
                <c:pt idx="15">
                  <c:v>407.94245000000001</c:v>
                </c:pt>
                <c:pt idx="16">
                  <c:v>394.49288039999999</c:v>
                </c:pt>
                <c:pt idx="17">
                  <c:v>408.4803503</c:v>
                </c:pt>
                <c:pt idx="18">
                  <c:v>415.79890060000002</c:v>
                </c:pt>
                <c:pt idx="19">
                  <c:v>419.56251800000001</c:v>
                </c:pt>
                <c:pt idx="20">
                  <c:v>422.06229810000002</c:v>
                </c:pt>
                <c:pt idx="21">
                  <c:v>417.8506792</c:v>
                </c:pt>
                <c:pt idx="22">
                  <c:v>398.90890689999998</c:v>
                </c:pt>
                <c:pt idx="23">
                  <c:v>422.25739809999999</c:v>
                </c:pt>
                <c:pt idx="24">
                  <c:v>432.62185649999998</c:v>
                </c:pt>
                <c:pt idx="25">
                  <c:v>445.4113754</c:v>
                </c:pt>
                <c:pt idx="26">
                  <c:v>430.13261510000001</c:v>
                </c:pt>
                <c:pt idx="27">
                  <c:v>431.87668259999998</c:v>
                </c:pt>
                <c:pt idx="28">
                  <c:v>447.3373934</c:v>
                </c:pt>
                <c:pt idx="29">
                  <c:v>455.3399301</c:v>
                </c:pt>
              </c:numCache>
            </c:numRef>
          </c:val>
          <c:smooth val="0"/>
          <c:extLst>
            <c:ext xmlns:c16="http://schemas.microsoft.com/office/drawing/2014/chart" uri="{C3380CC4-5D6E-409C-BE32-E72D297353CC}">
              <c16:uniqueId val="{00000004-1E29-4E35-9F01-4809740A151B}"/>
            </c:ext>
          </c:extLst>
        </c:ser>
        <c:ser>
          <c:idx val="5"/>
          <c:order val="5"/>
          <c:tx>
            <c:strRef>
              <c:f>data!$A$7</c:f>
              <c:strCache>
                <c:ptCount val="1"/>
                <c:pt idx="0">
                  <c:v>Residential</c:v>
                </c:pt>
              </c:strCache>
            </c:strRef>
          </c:tx>
          <c:spPr>
            <a:ln w="28575" cap="rnd">
              <a:solidFill>
                <a:schemeClr val="accent6"/>
              </a:solidFill>
              <a:round/>
            </a:ln>
            <a:effectLst/>
          </c:spPr>
          <c:marker>
            <c:symbol val="none"/>
          </c:marker>
          <c:cat>
            <c:numRef>
              <c:f>data!$B$1:$AE$1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data!$B$7:$AE$7</c:f>
              <c:numCache>
                <c:formatCode>General</c:formatCode>
                <c:ptCount val="30"/>
                <c:pt idx="0">
                  <c:v>345.07078919999998</c:v>
                </c:pt>
                <c:pt idx="1">
                  <c:v>354.68974969999999</c:v>
                </c:pt>
                <c:pt idx="2">
                  <c:v>361.22202479999999</c:v>
                </c:pt>
                <c:pt idx="3">
                  <c:v>372.61249880000003</c:v>
                </c:pt>
                <c:pt idx="4">
                  <c:v>363.26014659999998</c:v>
                </c:pt>
                <c:pt idx="5">
                  <c:v>367.52352109999998</c:v>
                </c:pt>
                <c:pt idx="6">
                  <c:v>399.45480270000002</c:v>
                </c:pt>
                <c:pt idx="7">
                  <c:v>380.82865889999999</c:v>
                </c:pt>
                <c:pt idx="8">
                  <c:v>346.8732536</c:v>
                </c:pt>
                <c:pt idx="9">
                  <c:v>366.68445839999998</c:v>
                </c:pt>
                <c:pt idx="10">
                  <c:v>387.99253859999999</c:v>
                </c:pt>
                <c:pt idx="11">
                  <c:v>378.07688389999998</c:v>
                </c:pt>
                <c:pt idx="12">
                  <c:v>375.2866689</c:v>
                </c:pt>
                <c:pt idx="13">
                  <c:v>393.72894339999999</c:v>
                </c:pt>
                <c:pt idx="14">
                  <c:v>381.85243500000001</c:v>
                </c:pt>
                <c:pt idx="15">
                  <c:v>371.0155287</c:v>
                </c:pt>
                <c:pt idx="16">
                  <c:v>334.30939999999998</c:v>
                </c:pt>
                <c:pt idx="17">
                  <c:v>355.25485520000001</c:v>
                </c:pt>
                <c:pt idx="18">
                  <c:v>363.90698170000002</c:v>
                </c:pt>
                <c:pt idx="19">
                  <c:v>354.54514749999998</c:v>
                </c:pt>
                <c:pt idx="20">
                  <c:v>355.53972820000001</c:v>
                </c:pt>
                <c:pt idx="21">
                  <c:v>349.08949740000003</c:v>
                </c:pt>
                <c:pt idx="22">
                  <c:v>306.93895880000002</c:v>
                </c:pt>
                <c:pt idx="23">
                  <c:v>357.73586490000002</c:v>
                </c:pt>
                <c:pt idx="24">
                  <c:v>378.29797960000002</c:v>
                </c:pt>
                <c:pt idx="25">
                  <c:v>351.50278150000003</c:v>
                </c:pt>
                <c:pt idx="26">
                  <c:v>327.8409613</c:v>
                </c:pt>
                <c:pt idx="27">
                  <c:v>329.90886979999999</c:v>
                </c:pt>
                <c:pt idx="28">
                  <c:v>377.25103480000001</c:v>
                </c:pt>
                <c:pt idx="29">
                  <c:v>379.51372959999998</c:v>
                </c:pt>
              </c:numCache>
            </c:numRef>
          </c:val>
          <c:smooth val="0"/>
          <c:extLst>
            <c:ext xmlns:c16="http://schemas.microsoft.com/office/drawing/2014/chart" uri="{C3380CC4-5D6E-409C-BE32-E72D297353CC}">
              <c16:uniqueId val="{00000005-1E29-4E35-9F01-4809740A151B}"/>
            </c:ext>
          </c:extLst>
        </c:ser>
        <c:ser>
          <c:idx val="6"/>
          <c:order val="6"/>
          <c:tx>
            <c:strRef>
              <c:f>data!$A$8</c:f>
              <c:strCache>
                <c:ptCount val="1"/>
                <c:pt idx="0">
                  <c:v>U.S. territories</c:v>
                </c:pt>
              </c:strCache>
            </c:strRef>
          </c:tx>
          <c:spPr>
            <a:ln w="28575" cap="rnd">
              <a:solidFill>
                <a:schemeClr val="accent1">
                  <a:lumMod val="60000"/>
                </a:schemeClr>
              </a:solidFill>
              <a:round/>
            </a:ln>
            <a:effectLst/>
          </c:spPr>
          <c:marker>
            <c:symbol val="none"/>
          </c:marker>
          <c:cat>
            <c:numRef>
              <c:f>data!$B$1:$AE$1</c:f>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f>data!$B$8:$AE$8</c:f>
              <c:numCache>
                <c:formatCode>General</c:formatCode>
                <c:ptCount val="30"/>
                <c:pt idx="0">
                  <c:v>25.162524999999999</c:v>
                </c:pt>
                <c:pt idx="1">
                  <c:v>25.84773869</c:v>
                </c:pt>
                <c:pt idx="2">
                  <c:v>25.506648080000001</c:v>
                </c:pt>
                <c:pt idx="3">
                  <c:v>26.685776669999999</c:v>
                </c:pt>
                <c:pt idx="4">
                  <c:v>27.84799873</c:v>
                </c:pt>
                <c:pt idx="5">
                  <c:v>27.453643119999999</c:v>
                </c:pt>
                <c:pt idx="6">
                  <c:v>27.540404349999999</c:v>
                </c:pt>
                <c:pt idx="7">
                  <c:v>28.347361360000001</c:v>
                </c:pt>
                <c:pt idx="8">
                  <c:v>27.670069720000001</c:v>
                </c:pt>
                <c:pt idx="9">
                  <c:v>30.06731542</c:v>
                </c:pt>
                <c:pt idx="10">
                  <c:v>51.84304496</c:v>
                </c:pt>
                <c:pt idx="11">
                  <c:v>58.436342260000004</c:v>
                </c:pt>
                <c:pt idx="12">
                  <c:v>58.73337557</c:v>
                </c:pt>
                <c:pt idx="13">
                  <c:v>63.286962760000002</c:v>
                </c:pt>
                <c:pt idx="14">
                  <c:v>64.481986460000002</c:v>
                </c:pt>
                <c:pt idx="15">
                  <c:v>63.703928580000003</c:v>
                </c:pt>
                <c:pt idx="16">
                  <c:v>61.059995839999999</c:v>
                </c:pt>
                <c:pt idx="17">
                  <c:v>57.904101910000001</c:v>
                </c:pt>
                <c:pt idx="18">
                  <c:v>45.912914229999998</c:v>
                </c:pt>
                <c:pt idx="19">
                  <c:v>42.42828557</c:v>
                </c:pt>
                <c:pt idx="20">
                  <c:v>36.765627240000001</c:v>
                </c:pt>
                <c:pt idx="21">
                  <c:v>34.466076770000001</c:v>
                </c:pt>
                <c:pt idx="22">
                  <c:v>34.471711630000001</c:v>
                </c:pt>
                <c:pt idx="23">
                  <c:v>28.42782437</c:v>
                </c:pt>
                <c:pt idx="24">
                  <c:v>29.470584089999999</c:v>
                </c:pt>
                <c:pt idx="25">
                  <c:v>30.033367219999999</c:v>
                </c:pt>
                <c:pt idx="26">
                  <c:v>26.779480020000001</c:v>
                </c:pt>
                <c:pt idx="27">
                  <c:v>25.353712550000001</c:v>
                </c:pt>
                <c:pt idx="28">
                  <c:v>25.357175089999998</c:v>
                </c:pt>
                <c:pt idx="29">
                  <c:v>25.35854496</c:v>
                </c:pt>
              </c:numCache>
            </c:numRef>
          </c:val>
          <c:smooth val="0"/>
          <c:extLst>
            <c:ext xmlns:c16="http://schemas.microsoft.com/office/drawing/2014/chart" uri="{C3380CC4-5D6E-409C-BE32-E72D297353CC}">
              <c16:uniqueId val="{00000006-1E29-4E35-9F01-4809740A151B}"/>
            </c:ext>
          </c:extLst>
        </c:ser>
        <c:dLbls>
          <c:showLegendKey val="0"/>
          <c:showVal val="0"/>
          <c:showCatName val="0"/>
          <c:showSerName val="0"/>
          <c:showPercent val="0"/>
          <c:showBubbleSize val="0"/>
        </c:dLbls>
        <c:smooth val="0"/>
        <c:axId val="1297662112"/>
        <c:axId val="1297664192"/>
        <c:extLst>
          <c:ext xmlns:c15="http://schemas.microsoft.com/office/drawing/2012/chart" uri="{02D57815-91ED-43cb-92C2-25804820EDAC}">
            <c15:filteredLineSeries>
              <c15:ser>
                <c:idx val="7"/>
                <c:order val="7"/>
                <c:tx>
                  <c:strRef>
                    <c:extLst>
                      <c:ext uri="{02D57815-91ED-43cb-92C2-25804820EDAC}">
                        <c15:formulaRef>
                          <c15:sqref>data!$A$9</c15:sqref>
                        </c15:formulaRef>
                      </c:ext>
                    </c:extLst>
                    <c:strCache>
                      <c:ptCount val="1"/>
                      <c:pt idx="0">
                        <c:v>Total</c:v>
                      </c:pt>
                    </c:strCache>
                  </c:strRef>
                </c:tx>
                <c:spPr>
                  <a:ln w="28575" cap="rnd">
                    <a:solidFill>
                      <a:schemeClr val="accent2">
                        <a:lumMod val="60000"/>
                      </a:schemeClr>
                    </a:solidFill>
                    <a:round/>
                  </a:ln>
                  <a:effectLst/>
                </c:spPr>
                <c:marker>
                  <c:symbol val="none"/>
                </c:marker>
                <c:cat>
                  <c:numRef>
                    <c:extLst>
                      <c:ext uri="{02D57815-91ED-43cb-92C2-25804820EDAC}">
                        <c15:formulaRef>
                          <c15:sqref>data!$B$1:$AE$1</c15:sqref>
                        </c15:formulaRef>
                      </c:ext>
                    </c:extLst>
                    <c:numCache>
                      <c:formatCode>General</c:formatCode>
                      <c:ptCount val="30"/>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numCache>
                  </c:numRef>
                </c:cat>
                <c:val>
                  <c:numRef>
                    <c:extLst>
                      <c:ext uri="{02D57815-91ED-43cb-92C2-25804820EDAC}">
                        <c15:formulaRef>
                          <c15:sqref>data!$B$9:$AE$9</c15:sqref>
                        </c15:formulaRef>
                      </c:ext>
                    </c:extLst>
                    <c:numCache>
                      <c:formatCode>General</c:formatCode>
                      <c:ptCount val="30"/>
                      <c:pt idx="0">
                        <c:v>6442.6506259999996</c:v>
                      </c:pt>
                      <c:pt idx="1">
                        <c:v>6373.6211350000003</c:v>
                      </c:pt>
                      <c:pt idx="2">
                        <c:v>6486.343836</c:v>
                      </c:pt>
                      <c:pt idx="3">
                        <c:v>6604.3498890000001</c:v>
                      </c:pt>
                      <c:pt idx="4">
                        <c:v>6691.8228289999997</c:v>
                      </c:pt>
                      <c:pt idx="5">
                        <c:v>6775.8602449999998</c:v>
                      </c:pt>
                      <c:pt idx="6">
                        <c:v>6981.1653759999999</c:v>
                      </c:pt>
                      <c:pt idx="7">
                        <c:v>7036.5080399999997</c:v>
                      </c:pt>
                      <c:pt idx="8">
                        <c:v>7083.2692669999997</c:v>
                      </c:pt>
                      <c:pt idx="9">
                        <c:v>7125.3990290000002</c:v>
                      </c:pt>
                      <c:pt idx="10">
                        <c:v>7313.6164930000004</c:v>
                      </c:pt>
                      <c:pt idx="11">
                        <c:v>7202.9565140000004</c:v>
                      </c:pt>
                      <c:pt idx="12">
                        <c:v>7244.3018890000003</c:v>
                      </c:pt>
                      <c:pt idx="13">
                        <c:v>7301.3631800000003</c:v>
                      </c:pt>
                      <c:pt idx="14">
                        <c:v>7415.4711079999997</c:v>
                      </c:pt>
                      <c:pt idx="15">
                        <c:v>7423.0310310000004</c:v>
                      </c:pt>
                      <c:pt idx="16">
                        <c:v>7344.4628480000001</c:v>
                      </c:pt>
                      <c:pt idx="17">
                        <c:v>7449.6160250000003</c:v>
                      </c:pt>
                      <c:pt idx="18">
                        <c:v>7224.6489799999999</c:v>
                      </c:pt>
                      <c:pt idx="19">
                        <c:v>6772.0000710000004</c:v>
                      </c:pt>
                      <c:pt idx="20">
                        <c:v>6991.1063430000004</c:v>
                      </c:pt>
                      <c:pt idx="21">
                        <c:v>6827.4024209999998</c:v>
                      </c:pt>
                      <c:pt idx="22">
                        <c:v>6585.9077660000003</c:v>
                      </c:pt>
                      <c:pt idx="23">
                        <c:v>6764.6691099999998</c:v>
                      </c:pt>
                      <c:pt idx="24">
                        <c:v>6824.956709</c:v>
                      </c:pt>
                      <c:pt idx="25">
                        <c:v>6671.1120650000003</c:v>
                      </c:pt>
                      <c:pt idx="26">
                        <c:v>6520.3378389999998</c:v>
                      </c:pt>
                      <c:pt idx="27">
                        <c:v>6483.2913310000004</c:v>
                      </c:pt>
                      <c:pt idx="28">
                        <c:v>6671.4494009999999</c:v>
                      </c:pt>
                      <c:pt idx="29">
                        <c:v>6558.3451789999999</c:v>
                      </c:pt>
                    </c:numCache>
                  </c:numRef>
                </c:val>
                <c:smooth val="0"/>
                <c:extLst>
                  <c:ext xmlns:c16="http://schemas.microsoft.com/office/drawing/2014/chart" uri="{C3380CC4-5D6E-409C-BE32-E72D297353CC}">
                    <c16:uniqueId val="{00000007-1E29-4E35-9F01-4809740A151B}"/>
                  </c:ext>
                </c:extLst>
              </c15:ser>
            </c15:filteredLineSeries>
          </c:ext>
        </c:extLst>
      </c:lineChart>
      <c:catAx>
        <c:axId val="129766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664192"/>
        <c:crosses val="autoZero"/>
        <c:auto val="1"/>
        <c:lblAlgn val="ctr"/>
        <c:lblOffset val="100"/>
        <c:noMultiLvlLbl val="0"/>
      </c:catAx>
      <c:valAx>
        <c:axId val="129766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766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w:rsidRDefault="00240AD6"&gt;&lt;w:r&gt;&lt;w:t&gt;Carbon Footprint&lt;/w:t&gt;&lt;/w:r&gt;&lt;/w:p&gt;&lt;w:sectPr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330</TotalTime>
  <Pages>9</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dc:description/>
  <cp:lastModifiedBy>David Kinney</cp:lastModifiedBy>
  <cp:revision>16</cp:revision>
  <dcterms:created xsi:type="dcterms:W3CDTF">2021-05-09T18:20:00Z</dcterms:created>
  <dcterms:modified xsi:type="dcterms:W3CDTF">2021-05-09T23:44:00Z</dcterms:modified>
</cp:coreProperties>
</file>