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Programación Java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90500" cy="19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SQL 1 - MOVIES DB</w:t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Individual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Proxima Nova Extrabold" w:cs="Proxima Nova Extrabold" w:eastAsia="Proxima Nova Extrabold" w:hAnsi="Proxima Nova Extra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rFonts w:ascii="Proxima Nova Extrabold" w:cs="Proxima Nova Extrabold" w:eastAsia="Proxima Nova Extrabold" w:hAnsi="Proxima Nova Extra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rFonts w:ascii="Open Sans" w:cs="Open Sans" w:eastAsia="Open Sans" w:hAnsi="Open Sans"/>
          <w:b w:val="1"/>
          <w:color w:val="666666"/>
          <w:sz w:val="27"/>
          <w:szCs w:val="27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7"/>
          <w:szCs w:val="27"/>
          <w:rtl w:val="0"/>
        </w:rPr>
        <w:t xml:space="preserve">PRIMERA PARTE</w:t>
      </w:r>
    </w:p>
    <w:p w:rsidR="00000000" w:rsidDel="00000000" w:rsidP="00000000" w:rsidRDefault="00000000" w:rsidRPr="00000000" w14:paraId="00000008">
      <w:pPr>
        <w:spacing w:line="276" w:lineRule="auto"/>
        <w:jc w:val="left"/>
        <w:rPr>
          <w:b w:val="1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360" w:lineRule="auto"/>
        <w:ind w:left="720" w:hanging="36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Abrir desde MySql Workbench el archivo movies_db.sql y ejecutar su contenido.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Open Sans" w:cs="Open Sans" w:eastAsia="Open Sans" w:hAnsi="Open Sans"/>
          <w:b w:val="1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Open Sans" w:cs="Open Sans" w:eastAsia="Open Sans" w:hAnsi="Open Sans"/>
          <w:b w:val="1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Open Sans" w:cs="Open Sans" w:eastAsia="Open Sans" w:hAnsi="Open Sans"/>
          <w:b w:val="1"/>
          <w:color w:val="666666"/>
          <w:sz w:val="27"/>
          <w:szCs w:val="27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7"/>
          <w:szCs w:val="27"/>
          <w:rtl w:val="0"/>
        </w:rPr>
        <w:t xml:space="preserve">SEGUNDA PARTE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Open Sans" w:cs="Open Sans" w:eastAsia="Open Sans" w:hAnsi="Open Sans"/>
          <w:b w:val="1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Mostrar todos los registros de la tabla de movies.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Mostrar el nombre, apellido y rating de todos los actores.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Mostrar el título de todas las series y usar alias para que tanto el nombre de la tabla como el campo estén en español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Aplicarle a la consulta anterior un filtro mostrando sólo aquellas anteriores al año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Mostrar el nombre y apellido de los actores cuyo rating sea mayor a 7.5.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Mostrar el título de las películas, el rating y los premios de las películas con un rating mayor a 7.5 y con más de dos premios.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Mostrar el título de las películas y el rating ordenadas por rating en forma ascendente.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Mostrar los títulos de las primeras tres películas en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Mostrar el top 5 de las películas con mayor rating.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Mostrar las top 5 a 10 de las películas con mayor rating.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Listar los primeros 10 actores (sería la página 1),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Luego usar offset para traer la página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Hacer lo mismo para la página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Mostrar el título y rating de todas las películas cuyo título sea de Toy 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Mostrar a todos los actores cuyos nombres empiecen con Sam.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Mostrar el título de las películas que salieron entre el 2004 y 2008.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Traer el título de las películas con el rating mayor a 3, con más de 1 premio y con fecha de lanzamiento entre el año 1988 al 2009. Ordenar los resultados por rating.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Traer el top 3 a partir del registro 10 de la consulta anterior.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-987261</wp:posOffset>
          </wp:positionH>
          <wp:positionV relativeFrom="paragraph">
            <wp:posOffset>-457199</wp:posOffset>
          </wp:positionV>
          <wp:extent cx="7707923" cy="1252538"/>
          <wp:effectExtent b="0" l="0" r="0" t="0"/>
          <wp:wrapSquare wrapText="bothSides" distB="0" distT="0" distL="0" distR="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S/BRyl5EEdoWNlp3LeZ1gre65Q==">AMUW2mXJnnUBPAMMZS/OTPwdKNkfQzJqrJi6TqZPBShMH61QXJVymc2+Z2EdpKOS5tc0qLofWkBCLsybzsMxKenru9r3UdOuo/zvOAK4VEfmSCvIoxhsYKM=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