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Image Tagger Status Report</w:t>
      </w:r>
    </w:p>
    <w:p>
      <w:pPr>
        <w:jc w:val="center"/>
      </w:pPr>
      <w:r>
        <w:rPr>
          <w:i/>
        </w:rPr>
        <w:t>Repository state reviewed March 30, 2026</w:t>
      </w:r>
    </w:p>
    <w:p>
      <w:pPr>
        <w:pStyle w:val="Heading1"/>
      </w:pPr>
      <w:r>
        <w:t>1. Taxonomy workbook scope</w:t>
      </w:r>
    </w:p>
    <w:p>
      <w:r>
        <w:t>The target taxonomy lives in docs/Environment_Cognition_Taxonomy_Hierarchical_V2.7_ActivityAffordances_RoomMarkers copy.xlsx. It currently contains 16 worksheets spanning high-level building and room categories, activity affordances, latent variables, mediators, environmental attributes, and crosswalk/evidence tables. The workbook is not just a flat tag list: it is a hierarchical research ontology. Building_Typologies defines broad program classes; Room_Typology defines 45 room/program subtypes with parent building types, typical activities, artifacts, and layout cues; Activity_Affordances defines 130 latent activity affordances (L059-L188) with room-type priors and key 2D cues; Latent_Variables and Mediators define broader psychological and contextual constructs; Env_Attributes catalogs 286 measurable environmental variables with extractability notes, evidence strength, and suggested outcomes/tests. Several additional tabs act as relationship tables rather than tag inventories, for example RoomType_to_Activity, Link_Evidence, Attr_to_Outcomes, and the marker-node tabs.</w:t>
      </w:r>
    </w:p>
    <w:p>
      <w:pPr>
        <w:pStyle w:val="Heading1"/>
      </w:pPr>
      <w:r>
        <w:t>2. Currently supported taxonomy coverage</w:t>
      </w:r>
    </w:p>
    <w:p>
      <w:pPr>
        <w:pStyle w:val="Heading2"/>
      </w:pPr>
      <w:r>
        <w:t>Room_Typology</w:t>
      </w:r>
    </w:p>
    <w:p>
      <w:r>
        <w:t>The Room_Typology sheet is a 45-row room/program taxonomy keyed by RoomType_ID. Each row includes a room name, parent building typology, typical activities, signature artifacts, signature layout cues, an estimate of 2D inferability, and notes about VR enrichment. The current system supports this tab in a compressed but operational form. Instead of predicting all 45 room types directly, the live pipeline runs Places365 scene recognition and maps fine scene labels into 13 stable coarse room tags: bathroom, bedroom, corridor, dining, kitchen, living, office, lobby, retail, classroom, industrial, outdoor_adjacent, and other. Implementation lives in backend/science/vision/room_detection.py and is invoked from backend/science/pipeline.py during canonical processing. The result is persisted as scalar room attributes, a structured room_json artifact, and one canonical room_type.* tag in backend/science/tag_derivation.py when the top coarse confidence is at least 0.20. Architecturally, room typing is therefore a scene-level classifier feeding the canonical science-run subsystem, Explorer detail API, and the room debug overlay. The important limitation is granularity: this is support for the room-typology layer conceptually, but not yet one-to-one support for every RTxx label in the spreadsheet.</w:t>
      </w:r>
    </w:p>
    <w:p>
      <w:pPr>
        <w:pStyle w:val="Heading2"/>
      </w:pPr>
      <w:r>
        <w:t>Activity_Affordances</w:t>
      </w:r>
    </w:p>
    <w:p>
      <w:r>
        <w:t>The Activity_Affordances sheet contains 130 latent affordance rows (L059-L188). Each row records an activity family, activity name, a textual definition, primary room-type priors, key 2D cues, and tier. The current system supports only five of these affordances operationally: L059 Sleep (Primary), L079 Cook (Daily), L091 Computer Work (Solo), L130 Casual Conversation / Hangout, and L141 Yoga / Stretching. The method is implemented in backend/science/context/affordance.py. The analyzer extracts a 310-dimensional feature vector from segmentation/object-layout cues and evaluates per-affordance LightGBM regressors on a 1-7 Likert scale. backend/science/pipeline.py packages successful results into affordance_json, and backend/science/tag_derivation.py promotes sufficiently high scores into canonical affordance tags (medium or high). This means the affordance infrastructure is real and end-to-end: model loading, feature extraction, scoring, artifact persistence, canonical tag derivation, and Explorer API exposure are all present. The remaining obstacle to wider coverage is not architecture but time and data. Only five activity models have been trained and wired. In addition, this checkout still documents a LightGBM pickle-compatibility problem, so affordance inference should be described as partially implemented operationally even though the system design is established.</w:t>
      </w:r>
    </w:p>
    <w:p>
      <w:pPr>
        <w:pStyle w:val="Heading2"/>
      </w:pPr>
      <w:r>
        <w:t>Observable 2D cues for L059-L188 in Latent_Variables</w:t>
      </w:r>
    </w:p>
    <w:p>
      <w:r>
        <w:t>The relevant portion of Latent_Variables begins at L059 and continues through L188, where the worksheet effectively mirrors the activity-affordance layer using the Observable_Cues_2D column to describe the visible evidence that should support each activity judgment. The current system supports this layer only for the same five affordances named above. In practice, the code does not store these cues as a hand-authored symbolic checklist; instead it operationalizes them as segmentation-derived object presence/counts, object area fractions, pairwise object distances, room-level aggregates, and related scene topology features. Those cue extractors live in backend/science/context/affordance.py, using Mask2Former COCO panoptic segmentation when available and a OneFormer ADE20K-to-COCO fallback otherwise. So the system does support Observable_Cues_2D for L059-L188, but only for the subset of activities with trained downstream models. For the rest of the rows, the conceptual cue descriptions exist in the spreadsheet but not yet as implemented predictors.</w:t>
      </w:r>
    </w:p>
    <w:p>
      <w:pPr>
        <w:pStyle w:val="Heading1"/>
      </w:pPr>
      <w:r>
        <w:t>3. Additional implemented detections not explicitly enumerated in the taxonomy workbook</w:t>
      </w:r>
    </w:p>
    <w:p>
      <w:pPr>
        <w:pStyle w:val="Heading2"/>
      </w:pPr>
      <w:r>
        <w:t>COCO object detection / segmentation</w:t>
      </w:r>
    </w:p>
    <w:p>
      <w:r>
        <w:t>The current repository includes a full segmentation stack that is broader than the taxonomy workbook itself. backend/science/vision/segmentation.py and backend/science/vision/mask2former.py provide semantic/panoptic scene parsing, object counts, object coverage, and visualization overlays using a COCO-style 133-class label space. This subsystem serves two roles. First, it is a direct debug/analysis tool exposed through backend/api/v1_debug.py and the Explorer detail modal. Second, it is the feature backbone for the affordance models, which depend on object/layout structure rather than only raw room labels. In the active canonical config defined in backend/services/science_runs.py, segmentation is disabled by default, so object.* canonical tags are not part of the normal production path. Even so, the detection capability is implemented and usable in debug mode and in affordance feature extraction, so it is fair to describe COCO object segmentation as supported by the system, with the caveat that it is not currently in the default canonical export contract.</w:t>
      </w:r>
    </w:p>
    <w:p>
      <w:pPr>
        <w:pStyle w:val="Heading2"/>
      </w:pPr>
      <w:r>
        <w:t>Visual complexity / fractals</w:t>
      </w:r>
    </w:p>
    <w:p>
      <w:r>
        <w:t>Visual complexity and fractal analysis are implemented as deterministic science analyzers rather than as taxonomy-native labels. Complexity lives in backend/science/math/complexity.py and computes scalar measures such as shannon entropy, spatial entropy, and edge density. Fractal analysis lives in backend/science/math/fractals.py and contributes a fractal-dimension signal that is also consumed by the organized-complexity composite. These analyzers are part of the default canonical run path, are persisted to Validation, and are surfaced visually through the Explorer debug pipeline: edge maps, overlays, and complexity heatmaps are served by backend/api/v1_debug.py. In other words, complexity is both measured and inspectable, while the fractal signal is currently a scene-level scalar rather than a directly localized mask.</w:t>
      </w:r>
    </w:p>
    <w:p>
      <w:pPr>
        <w:pStyle w:val="Heading2"/>
      </w:pPr>
      <w:r>
        <w:t>Biophilic materials</w:t>
      </w:r>
    </w:p>
    <w:p>
      <w:r>
        <w:t>The taxonomy workbook does not yet enumerate a dedicated material tag family, but the codebase now does. A lightweight biophilia composite is implemented in backend/science/biophilia.py and combines plant-presence and natural-texture proxies into biophilia.index. In parallel, backend/science/vision/materials.py estimates visible materials. The most clearly biophilic material outputs are wood and natural stone families, including wood, stone, marble, granite, travertine, and terrazzo; brick is also detectable as a natural/mineral surface even if its biophilic status is more context dependent. The heuristic path estimates coverage from HSV/luminance/texture cues, while the optional Gemini VLM path can return richer named materials, finishes, and location summaries. Architecturally, these outputs are generated inside the science pipeline, persisted as science attributes and materials_json artifacts, and then promoted to canonical material.* tags when estimated coverage is large enough.</w:t>
      </w:r>
    </w:p>
    <w:p>
      <w:pPr>
        <w:pStyle w:val="Heading2"/>
      </w:pPr>
      <w:r>
        <w:t>Other materials</w:t>
      </w:r>
    </w:p>
    <w:p>
      <w:r>
        <w:t>The same materials subsystem also supports non-biophilic categories such as concrete, glass, metal, steel, brass, copper, aluminum, ceramic, tile, porcelain, fabric, leather, vinyl, laminate, plaster, drywall, wallpaper, carpet, paint, plastic, and rubber. The heuristic path is intentionally cheap and always available; it uses color, saturation, brightness, local variance, and optional depth weighting to estimate coarse coverage. The optional Gemini path broadens the material vocabulary and supplies more human-readable location/finish metadata. Like the biophilic subset, these detections enter the architecture through backend/science/vision/materials.py, are attached to the AnalysisFrame, persisted as materials_json, and may become canonical material.* tags through backend/science/tag_derivation.py.</w:t>
      </w:r>
    </w:p>
    <w:p>
      <w:pPr>
        <w:pStyle w:val="Heading2"/>
      </w:pPr>
      <w:r>
        <w:t>Debug-mode localization and visualization</w:t>
      </w:r>
    </w:p>
    <w:p>
      <w:r>
        <w:t>With the exception of room type, the implemented outputs are generally localizable or at least visually auditable through the debug stack. backend/api/v1_debug.py serves edge maps, edge overlays, depth maps, complexity heatmaps, semantic segmentation overlays, panoptic instance overlays, room-result panels, and materials overlays. The Explorer frontend wires these into the detail modal in frontend/apps/explorer/src/App.jsx and frontend/apps/explorer/src/ImageDetailModal.jsx. For objects and affordance cues, localization comes from segmentation masks, instance labels, counts, and coverage summaries. For materials, localization comes from region-specific masks or overlay panels tied to inferred locations. For complexity, localization comes from edge maps and heatmaps. For biophilia, the underlying contributing cues are visualizable even though the final biophilia.index itself is a scene-level composite. Room type is the exception because it is fundamentally a whole-scene classifier: the debug overlay can show evidence panels and class distributions, but it does not localize the room label to a bounded region.</w:t>
      </w:r>
    </w:p>
    <w:p>
      <w:pPr>
        <w:pStyle w:val="Heading1"/>
      </w:pPr>
      <w:r>
        <w:t>4. Taxonomy areas not currently supported</w:t>
      </w:r>
    </w:p>
    <w:p>
      <w:pPr>
        <w:pStyle w:val="Heading2"/>
      </w:pPr>
      <w:r>
        <w:t>Env_Attributes</w:t>
      </w:r>
    </w:p>
    <w:p>
      <w:r>
        <w:t>Env_Attributes is the single most ambitious worksheet in the taxonomy. It contains 286 rows organized by domain and subdomain, with definitions/ranges, notes about whether a variable is extractable from 2D images, 3D/VR, or monocular approximation, suggested outcomes, suggested tests, evidence strength, and references. The content spans luminous environment variables, thermal factors, acoustics, air quality, ergonomics, temporal qualities, control/agency, topology, and many other constructs. This is difficult to implement because many rows are not purely visual. Some require calibrated photometry, thermal or acoustic sensors, longitudinal occupancy context, or interactive/VR measurement rather than a single RGB frame. Even the rows marked as partially monocular often need inverse rendering, depth, geometry, or stronger physical priors than the current pipeline has. Future contributors should treat this sheet as a research roadmap rather than a near-term tagging backlog. Promising approaches include inverse-rendering pipelines for lighting metrics, monocular depth plus layout reconstruction for geometric/topological variables, multimodal sensor fusion where datasets allow it, VLM-based rubric scoring with explicit uncertainty rather than false precision, and carefully validated proxy models for the subset of variables that can plausibly be inferred from still images.</w:t>
      </w:r>
    </w:p>
    <w:p>
      <w:pPr>
        <w:pStyle w:val="Heading2"/>
      </w:pPr>
      <w:r>
        <w:t>Observable 2D cues for L01-L58 and all Mediators</w:t>
      </w:r>
    </w:p>
    <w:p>
      <w:r>
        <w:t>L01-L58 of Latent_Variables and all rows in Mediators are not yet supported as a coherent implemented layer. These sheets cover broad constructs such as threat, escape efficacy, visibility control, contamination risk, privacy, crowding, restorativeness, fascination, coherence, and control/autonomy. Their Observable_Cues_2D columns are informative, but they do not yet collapse into a small number of reusable extractor families in the way that the affordance rows do. That lack of organizing principle is itself a major implementation blocker. Today, each row would effectively require its own mini-research program: identify viable visual proxies, collect training or evaluation data, define a stable output contract, and determine whether the construct is even inferable from a single image rather than from interaction or context. The best next step for future contributors is to impose structure before adding models. A practical approach would be to cluster these rows into a small set of cue families such as geometry/sightlines, enclosure/partitioning, occupancy density, lighting/surface hygiene, and nature/restoration cues; then define one testable proxy stack per family. From there, a combination of deterministic geometry features, segmentation-derived counts/areas, room priors, and rubric-based VLM scoring could support gradual expansion.</w:t>
      </w:r>
    </w:p>
    <w:p>
      <w:pPr>
        <w:pStyle w:val="Heading2"/>
      </w:pPr>
      <w:r>
        <w:t>Building_Typologies</w:t>
      </w:r>
    </w:p>
    <w:p>
      <w:r>
        <w:t>Building_Typologies is a short but deceptively hard sheet. It contains 12 high-level program types such as Residential, Hospitality, Workplace/Office, Education, Healthcare, Retail, Food &amp; Beverage, Fitness/Wellness, Transportation, Civic/Cultural, Industrial/Back-of-House, and Outdoor/Transitional. Each row summarizes typical rooms, activities, and a note that 2D extractability is expected to be high when room type, artifacts, and signage are available. The difficulty is that building typology is often underdetermined by a single room image. A bedroom does suggest Residential or Hospitality; a corridor could belong to a hotel, hospital, office, school, or housing block; a lounge could be residential, workplace, retail, or hospitality. In other words, room type is necessary but frequently insufficient. Future work here should likely be hierarchical: infer room type first, then combine it with signage/text detection, object priors, material/program cues, and preferably multi-image or album-level context. A scene-graph or retrieval-based approach over sets of images from the same asset collection may be more robust than trying to classify building typology from one image in isolation.</w:t>
      </w:r>
    </w:p>
    <w:p>
      <w:pPr>
        <w:pStyle w:val="Heading1"/>
      </w:pPr>
      <w:r>
        <w:t>5. Verified implementation status in this checkout</w:t>
      </w:r>
    </w:p>
    <w:p>
      <w:r>
        <w:t>Two targeted unit-test modules directly relevant to this report were executed successfully in the current repository state after setting PYTHONPATH to the active application directory. test_tag_derivation.py passed 29 tests, confirming the current canonical tag-derivation rules for room, affordance, object, material, and promoted science tags. test_biophilia.py passed 2 tests, confirming the current naturalness-to-biophilia path and weighting logic. Those passing tests do not remove the runtime caveats documented elsewhere in the repo: affordance inference is still affected by a LightGBM compatibility issue in this environment, and segmentation remains disabled in the default canonical config even though the implementation exists.</w:t>
      </w:r>
    </w:p>
    <w:p>
      <w:pPr>
        <w:pStyle w:val="Heading1"/>
      </w:pPr>
      <w:r>
        <w:t>6. Exhaustive current output inventory</w:t>
      </w:r>
    </w:p>
    <w:p>
      <w:r>
        <w:t>The table below is exhaustive with respect to the current system contract discussed above. For closed tag families such as room types and affordances, each supported member is listed explicitly. For open or large namespaces such as object.* and material.*, the row uses a namespace pattern and the complete backing class lists are enumerated immediately after the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Tag group</w:t>
            </w:r>
          </w:p>
        </w:tc>
        <w:tc>
          <w:tcPr>
            <w:tcW w:type="dxa" w:w="1728"/>
          </w:tcPr>
          <w:p>
            <w:r>
              <w:t>Tag name</w:t>
            </w:r>
          </w:p>
        </w:tc>
        <w:tc>
          <w:tcPr>
            <w:tcW w:type="dxa" w:w="1728"/>
          </w:tcPr>
          <w:p>
            <w:r>
              <w:t>Confidence?</w:t>
            </w:r>
          </w:p>
        </w:tc>
        <w:tc>
          <w:tcPr>
            <w:tcW w:type="dxa" w:w="1728"/>
          </w:tcPr>
          <w:p>
            <w:r>
              <w:t>Magnitude?</w:t>
            </w:r>
          </w:p>
        </w:tc>
        <w:tc>
          <w:tcPr>
            <w:tcW w:type="dxa" w:w="1728"/>
          </w:tcPr>
          <w:p>
            <w:r>
              <w:t>Localized?</w:t>
            </w:r>
          </w:p>
        </w:tc>
      </w:tr>
      <w:tr>
        <w:tc>
          <w:tcPr>
            <w:tcW w:type="dxa" w:w="1728"/>
          </w:tcPr>
          <w:p>
            <w:r>
              <w:t>Room typology</w:t>
            </w:r>
          </w:p>
        </w:tc>
        <w:tc>
          <w:tcPr>
            <w:tcW w:type="dxa" w:w="1728"/>
          </w:tcPr>
          <w:p>
            <w:r>
              <w:t>room_type.bathroom</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room_type.bedroom</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room_type.corridor</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room_type.dining</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room_type.kitchen</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room_type.living</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room_type.office</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room_type.lobby</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room_type.retail</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room_type.classroom</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room_type.industrial</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room_type.outdoor_adjacent</w:t>
            </w:r>
          </w:p>
        </w:tc>
        <w:tc>
          <w:tcPr>
            <w:tcW w:type="dxa" w:w="1728"/>
          </w:tcPr>
          <w:p>
            <w:r>
              <w:t>Yes</w:t>
            </w:r>
          </w:p>
        </w:tc>
        <w:tc>
          <w:tcPr>
            <w:tcW w:type="dxa" w:w="1728"/>
          </w:tcPr>
          <w:p>
            <w:r>
              <w:t>No</w:t>
            </w:r>
          </w:p>
        </w:tc>
        <w:tc>
          <w:tcPr>
            <w:tcW w:type="dxa" w:w="1728"/>
          </w:tcPr>
          <w:p>
            <w:r>
              <w:t>No</w:t>
            </w:r>
          </w:p>
        </w:tc>
      </w:tr>
      <w:tr>
        <w:tc>
          <w:tcPr>
            <w:tcW w:type="dxa" w:w="1728"/>
          </w:tcPr>
          <w:p>
            <w:r>
              <w:t>Room typology</w:t>
            </w:r>
          </w:p>
        </w:tc>
        <w:tc>
          <w:tcPr>
            <w:tcW w:type="dxa" w:w="1728"/>
          </w:tcPr>
          <w:p>
            <w:r>
              <w:t>room_type.other</w:t>
            </w:r>
          </w:p>
        </w:tc>
        <w:tc>
          <w:tcPr>
            <w:tcW w:type="dxa" w:w="1728"/>
          </w:tcPr>
          <w:p>
            <w:r>
              <w:t>Yes</w:t>
            </w:r>
          </w:p>
        </w:tc>
        <w:tc>
          <w:tcPr>
            <w:tcW w:type="dxa" w:w="1728"/>
          </w:tcPr>
          <w:p>
            <w:r>
              <w:t>No</w:t>
            </w:r>
          </w:p>
        </w:tc>
        <w:tc>
          <w:tcPr>
            <w:tcW w:type="dxa" w:w="1728"/>
          </w:tcPr>
          <w:p>
            <w:r>
              <w:t>No</w:t>
            </w:r>
          </w:p>
        </w:tc>
      </w:tr>
      <w:tr>
        <w:tc>
          <w:tcPr>
            <w:tcW w:type="dxa" w:w="1728"/>
          </w:tcPr>
          <w:p>
            <w:r>
              <w:t>Activity affordance</w:t>
            </w:r>
          </w:p>
        </w:tc>
        <w:tc>
          <w:tcPr>
            <w:tcW w:type="dxa" w:w="1728"/>
          </w:tcPr>
          <w:p>
            <w:r>
              <w:t>L059 Sleep (Primary) / affordance.l059.(medium|high)</w:t>
            </w:r>
          </w:p>
        </w:tc>
        <w:tc>
          <w:tcPr>
            <w:tcW w:type="dxa" w:w="1728"/>
          </w:tcPr>
          <w:p>
            <w:r>
              <w:t>Yes</w:t>
            </w:r>
          </w:p>
        </w:tc>
        <w:tc>
          <w:tcPr>
            <w:tcW w:type="dxa" w:w="1728"/>
          </w:tcPr>
          <w:p>
            <w:r>
              <w:t>Yes (1-7 score)</w:t>
            </w:r>
          </w:p>
        </w:tc>
        <w:tc>
          <w:tcPr>
            <w:tcW w:type="dxa" w:w="1728"/>
          </w:tcPr>
          <w:p>
            <w:r>
              <w:t>Yes (via cue visualizations, not a direct heatmap)</w:t>
            </w:r>
          </w:p>
        </w:tc>
      </w:tr>
      <w:tr>
        <w:tc>
          <w:tcPr>
            <w:tcW w:type="dxa" w:w="1728"/>
          </w:tcPr>
          <w:p>
            <w:r>
              <w:t>Activity affordance</w:t>
            </w:r>
          </w:p>
        </w:tc>
        <w:tc>
          <w:tcPr>
            <w:tcW w:type="dxa" w:w="1728"/>
          </w:tcPr>
          <w:p>
            <w:r>
              <w:t>L079 Cook (Daily) / affordance.l079.(medium|high)</w:t>
            </w:r>
          </w:p>
        </w:tc>
        <w:tc>
          <w:tcPr>
            <w:tcW w:type="dxa" w:w="1728"/>
          </w:tcPr>
          <w:p>
            <w:r>
              <w:t>Yes</w:t>
            </w:r>
          </w:p>
        </w:tc>
        <w:tc>
          <w:tcPr>
            <w:tcW w:type="dxa" w:w="1728"/>
          </w:tcPr>
          <w:p>
            <w:r>
              <w:t>Yes (1-7 score)</w:t>
            </w:r>
          </w:p>
        </w:tc>
        <w:tc>
          <w:tcPr>
            <w:tcW w:type="dxa" w:w="1728"/>
          </w:tcPr>
          <w:p>
            <w:r>
              <w:t>Yes (via cue visualizations, not a direct heatmap)</w:t>
            </w:r>
          </w:p>
        </w:tc>
      </w:tr>
      <w:tr>
        <w:tc>
          <w:tcPr>
            <w:tcW w:type="dxa" w:w="1728"/>
          </w:tcPr>
          <w:p>
            <w:r>
              <w:t>Activity affordance</w:t>
            </w:r>
          </w:p>
        </w:tc>
        <w:tc>
          <w:tcPr>
            <w:tcW w:type="dxa" w:w="1728"/>
          </w:tcPr>
          <w:p>
            <w:r>
              <w:t>L091 Computer Work (Solo) / affordance.l091.(medium|high)</w:t>
            </w:r>
          </w:p>
        </w:tc>
        <w:tc>
          <w:tcPr>
            <w:tcW w:type="dxa" w:w="1728"/>
          </w:tcPr>
          <w:p>
            <w:r>
              <w:t>Yes</w:t>
            </w:r>
          </w:p>
        </w:tc>
        <w:tc>
          <w:tcPr>
            <w:tcW w:type="dxa" w:w="1728"/>
          </w:tcPr>
          <w:p>
            <w:r>
              <w:t>Yes (1-7 score)</w:t>
            </w:r>
          </w:p>
        </w:tc>
        <w:tc>
          <w:tcPr>
            <w:tcW w:type="dxa" w:w="1728"/>
          </w:tcPr>
          <w:p>
            <w:r>
              <w:t>Yes (via cue visualizations, not a direct heatmap)</w:t>
            </w:r>
          </w:p>
        </w:tc>
      </w:tr>
      <w:tr>
        <w:tc>
          <w:tcPr>
            <w:tcW w:type="dxa" w:w="1728"/>
          </w:tcPr>
          <w:p>
            <w:r>
              <w:t>Activity affordance</w:t>
            </w:r>
          </w:p>
        </w:tc>
        <w:tc>
          <w:tcPr>
            <w:tcW w:type="dxa" w:w="1728"/>
          </w:tcPr>
          <w:p>
            <w:r>
              <w:t>L130 Casual Conversation / affordance.l130.(medium|high)</w:t>
            </w:r>
          </w:p>
        </w:tc>
        <w:tc>
          <w:tcPr>
            <w:tcW w:type="dxa" w:w="1728"/>
          </w:tcPr>
          <w:p>
            <w:r>
              <w:t>Yes</w:t>
            </w:r>
          </w:p>
        </w:tc>
        <w:tc>
          <w:tcPr>
            <w:tcW w:type="dxa" w:w="1728"/>
          </w:tcPr>
          <w:p>
            <w:r>
              <w:t>Yes (1-7 score)</w:t>
            </w:r>
          </w:p>
        </w:tc>
        <w:tc>
          <w:tcPr>
            <w:tcW w:type="dxa" w:w="1728"/>
          </w:tcPr>
          <w:p>
            <w:r>
              <w:t>Yes (via cue visualizations, not a direct heatmap)</w:t>
            </w:r>
          </w:p>
        </w:tc>
      </w:tr>
      <w:tr>
        <w:tc>
          <w:tcPr>
            <w:tcW w:type="dxa" w:w="1728"/>
          </w:tcPr>
          <w:p>
            <w:r>
              <w:t>Activity affordance</w:t>
            </w:r>
          </w:p>
        </w:tc>
        <w:tc>
          <w:tcPr>
            <w:tcW w:type="dxa" w:w="1728"/>
          </w:tcPr>
          <w:p>
            <w:r>
              <w:t>L141 Yoga / Stretching / affordance.l141.(medium|high)</w:t>
            </w:r>
          </w:p>
        </w:tc>
        <w:tc>
          <w:tcPr>
            <w:tcW w:type="dxa" w:w="1728"/>
          </w:tcPr>
          <w:p>
            <w:r>
              <w:t>Yes</w:t>
            </w:r>
          </w:p>
        </w:tc>
        <w:tc>
          <w:tcPr>
            <w:tcW w:type="dxa" w:w="1728"/>
          </w:tcPr>
          <w:p>
            <w:r>
              <w:t>Yes (1-7 score)</w:t>
            </w:r>
          </w:p>
        </w:tc>
        <w:tc>
          <w:tcPr>
            <w:tcW w:type="dxa" w:w="1728"/>
          </w:tcPr>
          <w:p>
            <w:r>
              <w:t>Yes (via cue visualizations, not a direct heatmap)</w:t>
            </w:r>
          </w:p>
        </w:tc>
      </w:tr>
      <w:tr>
        <w:tc>
          <w:tcPr>
            <w:tcW w:type="dxa" w:w="1728"/>
          </w:tcPr>
          <w:p>
            <w:r>
              <w:t>Objects / segmentation</w:t>
            </w:r>
          </w:p>
        </w:tc>
        <w:tc>
          <w:tcPr>
            <w:tcW w:type="dxa" w:w="1728"/>
          </w:tcPr>
          <w:p>
            <w:r>
              <w:t>object.&lt;COCO-133 class&gt;</w:t>
            </w:r>
          </w:p>
        </w:tc>
        <w:tc>
          <w:tcPr>
            <w:tcW w:type="dxa" w:w="1728"/>
          </w:tcPr>
          <w:p>
            <w:r>
              <w:t>Yes</w:t>
            </w:r>
          </w:p>
        </w:tc>
        <w:tc>
          <w:tcPr>
            <w:tcW w:type="dxa" w:w="1728"/>
          </w:tcPr>
          <w:p>
            <w:r>
              <w:t>Yes (count and coverage)</w:t>
            </w:r>
          </w:p>
        </w:tc>
        <w:tc>
          <w:tcPr>
            <w:tcW w:type="dxa" w:w="1728"/>
          </w:tcPr>
          <w:p>
            <w:r>
              <w:t>Yes</w:t>
            </w:r>
          </w:p>
        </w:tc>
      </w:tr>
      <w:tr>
        <w:tc>
          <w:tcPr>
            <w:tcW w:type="dxa" w:w="1728"/>
          </w:tcPr>
          <w:p>
            <w:r>
              <w:t>Visual complexity</w:t>
            </w:r>
          </w:p>
        </w:tc>
        <w:tc>
          <w:tcPr>
            <w:tcW w:type="dxa" w:w="1728"/>
          </w:tcPr>
          <w:p>
            <w:r>
              <w:t>complexity.shannon_entropy</w:t>
            </w:r>
          </w:p>
        </w:tc>
        <w:tc>
          <w:tcPr>
            <w:tcW w:type="dxa" w:w="1728"/>
          </w:tcPr>
          <w:p>
            <w:r>
              <w:t>No</w:t>
            </w:r>
          </w:p>
        </w:tc>
        <w:tc>
          <w:tcPr>
            <w:tcW w:type="dxa" w:w="1728"/>
          </w:tcPr>
          <w:p>
            <w:r>
              <w:t>Yes</w:t>
            </w:r>
          </w:p>
        </w:tc>
        <w:tc>
          <w:tcPr>
            <w:tcW w:type="dxa" w:w="1728"/>
          </w:tcPr>
          <w:p>
            <w:r>
              <w:t>Indirectly yes (complexity heatmap)</w:t>
            </w:r>
          </w:p>
        </w:tc>
      </w:tr>
      <w:tr>
        <w:tc>
          <w:tcPr>
            <w:tcW w:type="dxa" w:w="1728"/>
          </w:tcPr>
          <w:p>
            <w:r>
              <w:t>Visual complexity</w:t>
            </w:r>
          </w:p>
        </w:tc>
        <w:tc>
          <w:tcPr>
            <w:tcW w:type="dxa" w:w="1728"/>
          </w:tcPr>
          <w:p>
            <w:r>
              <w:t>complexity.spatial_entropy</w:t>
            </w:r>
          </w:p>
        </w:tc>
        <w:tc>
          <w:tcPr>
            <w:tcW w:type="dxa" w:w="1728"/>
          </w:tcPr>
          <w:p>
            <w:r>
              <w:t>No</w:t>
            </w:r>
          </w:p>
        </w:tc>
        <w:tc>
          <w:tcPr>
            <w:tcW w:type="dxa" w:w="1728"/>
          </w:tcPr>
          <w:p>
            <w:r>
              <w:t>Yes</w:t>
            </w:r>
          </w:p>
        </w:tc>
        <w:tc>
          <w:tcPr>
            <w:tcW w:type="dxa" w:w="1728"/>
          </w:tcPr>
          <w:p>
            <w:r>
              <w:t>Indirectly yes (complexity heatmap)</w:t>
            </w:r>
          </w:p>
        </w:tc>
      </w:tr>
      <w:tr>
        <w:tc>
          <w:tcPr>
            <w:tcW w:type="dxa" w:w="1728"/>
          </w:tcPr>
          <w:p>
            <w:r>
              <w:t>Visual complexity</w:t>
            </w:r>
          </w:p>
        </w:tc>
        <w:tc>
          <w:tcPr>
            <w:tcW w:type="dxa" w:w="1728"/>
          </w:tcPr>
          <w:p>
            <w:r>
              <w:t>complexity.edge_density</w:t>
            </w:r>
          </w:p>
        </w:tc>
        <w:tc>
          <w:tcPr>
            <w:tcW w:type="dxa" w:w="1728"/>
          </w:tcPr>
          <w:p>
            <w:r>
              <w:t>No</w:t>
            </w:r>
          </w:p>
        </w:tc>
        <w:tc>
          <w:tcPr>
            <w:tcW w:type="dxa" w:w="1728"/>
          </w:tcPr>
          <w:p>
            <w:r>
              <w:t>Yes</w:t>
            </w:r>
          </w:p>
        </w:tc>
        <w:tc>
          <w:tcPr>
            <w:tcW w:type="dxa" w:w="1728"/>
          </w:tcPr>
          <w:p>
            <w:r>
              <w:t>Yes (edge map / overlay)</w:t>
            </w:r>
          </w:p>
        </w:tc>
      </w:tr>
      <w:tr>
        <w:tc>
          <w:tcPr>
            <w:tcW w:type="dxa" w:w="1728"/>
          </w:tcPr>
          <w:p>
            <w:r>
              <w:t>Fractals</w:t>
            </w:r>
          </w:p>
        </w:tc>
        <w:tc>
          <w:tcPr>
            <w:tcW w:type="dxa" w:w="1728"/>
          </w:tcPr>
          <w:p>
            <w:r>
              <w:t>fractal.D</w:t>
            </w:r>
          </w:p>
        </w:tc>
        <w:tc>
          <w:tcPr>
            <w:tcW w:type="dxa" w:w="1728"/>
          </w:tcPr>
          <w:p>
            <w:r>
              <w:t>No</w:t>
            </w:r>
          </w:p>
        </w:tc>
        <w:tc>
          <w:tcPr>
            <w:tcW w:type="dxa" w:w="1728"/>
          </w:tcPr>
          <w:p>
            <w:r>
              <w:t>Yes</w:t>
            </w:r>
          </w:p>
        </w:tc>
        <w:tc>
          <w:tcPr>
            <w:tcW w:type="dxa" w:w="1728"/>
          </w:tcPr>
          <w:p>
            <w:r>
              <w:t>No (scene-level scalar)</w:t>
            </w:r>
          </w:p>
        </w:tc>
      </w:tr>
      <w:tr>
        <w:tc>
          <w:tcPr>
            <w:tcW w:type="dxa" w:w="1728"/>
          </w:tcPr>
          <w:p>
            <w:r>
              <w:t>Composite science index</w:t>
            </w:r>
          </w:p>
        </w:tc>
        <w:tc>
          <w:tcPr>
            <w:tcW w:type="dxa" w:w="1728"/>
          </w:tcPr>
          <w:p>
            <w:r>
              <w:t>science.visual_richness</w:t>
            </w:r>
          </w:p>
        </w:tc>
        <w:tc>
          <w:tcPr>
            <w:tcW w:type="dxa" w:w="1728"/>
          </w:tcPr>
          <w:p>
            <w:r>
              <w:t>No</w:t>
            </w:r>
          </w:p>
        </w:tc>
        <w:tc>
          <w:tcPr>
            <w:tcW w:type="dxa" w:w="1728"/>
          </w:tcPr>
          <w:p>
            <w:r>
              <w:t>Yes</w:t>
            </w:r>
          </w:p>
        </w:tc>
        <w:tc>
          <w:tcPr>
            <w:tcW w:type="dxa" w:w="1728"/>
          </w:tcPr>
          <w:p>
            <w:r>
              <w:t>Indirectly yes</w:t>
            </w:r>
          </w:p>
        </w:tc>
      </w:tr>
      <w:tr>
        <w:tc>
          <w:tcPr>
            <w:tcW w:type="dxa" w:w="1728"/>
          </w:tcPr>
          <w:p>
            <w:r>
              <w:t>Composite science index</w:t>
            </w:r>
          </w:p>
        </w:tc>
        <w:tc>
          <w:tcPr>
            <w:tcW w:type="dxa" w:w="1728"/>
          </w:tcPr>
          <w:p>
            <w:r>
              <w:t>science.organized_complexity</w:t>
            </w:r>
          </w:p>
        </w:tc>
        <w:tc>
          <w:tcPr>
            <w:tcW w:type="dxa" w:w="1728"/>
          </w:tcPr>
          <w:p>
            <w:r>
              <w:t>No</w:t>
            </w:r>
          </w:p>
        </w:tc>
        <w:tc>
          <w:tcPr>
            <w:tcW w:type="dxa" w:w="1728"/>
          </w:tcPr>
          <w:p>
            <w:r>
              <w:t>Yes</w:t>
            </w:r>
          </w:p>
        </w:tc>
        <w:tc>
          <w:tcPr>
            <w:tcW w:type="dxa" w:w="1728"/>
          </w:tcPr>
          <w:p>
            <w:r>
              <w:t>Indirectly yes</w:t>
            </w:r>
          </w:p>
        </w:tc>
      </w:tr>
      <w:tr>
        <w:tc>
          <w:tcPr>
            <w:tcW w:type="dxa" w:w="1728"/>
          </w:tcPr>
          <w:p>
            <w:r>
              <w:t>Biophilia</w:t>
            </w:r>
          </w:p>
        </w:tc>
        <w:tc>
          <w:tcPr>
            <w:tcW w:type="dxa" w:w="1728"/>
          </w:tcPr>
          <w:p>
            <w:r>
              <w:t>biophilia.index</w:t>
            </w:r>
          </w:p>
        </w:tc>
        <w:tc>
          <w:tcPr>
            <w:tcW w:type="dxa" w:w="1728"/>
          </w:tcPr>
          <w:p>
            <w:r>
              <w:t>Yes (internal analyzer confidence)</w:t>
            </w:r>
          </w:p>
        </w:tc>
        <w:tc>
          <w:tcPr>
            <w:tcW w:type="dxa" w:w="1728"/>
          </w:tcPr>
          <w:p>
            <w:r>
              <w:t>Yes</w:t>
            </w:r>
          </w:p>
        </w:tc>
        <w:tc>
          <w:tcPr>
            <w:tcW w:type="dxa" w:w="1728"/>
          </w:tcPr>
          <w:p>
            <w:r>
              <w:t>Indirectly yes through contributing cues</w:t>
            </w:r>
          </w:p>
        </w:tc>
      </w:tr>
      <w:tr>
        <w:tc>
          <w:tcPr>
            <w:tcW w:type="dxa" w:w="1728"/>
          </w:tcPr>
          <w:p>
            <w:r>
              <w:t>Biophilic materials</w:t>
            </w:r>
          </w:p>
        </w:tc>
        <w:tc>
          <w:tcPr>
            <w:tcW w:type="dxa" w:w="1728"/>
          </w:tcPr>
          <w:p>
            <w:r>
              <w:t>material.{wood, stone, marble, granite, travertine, terrazzo, brick}</w:t>
            </w:r>
          </w:p>
        </w:tc>
        <w:tc>
          <w:tcPr>
            <w:tcW w:type="dxa" w:w="1728"/>
          </w:tcPr>
          <w:p>
            <w:r>
              <w:t>Yes</w:t>
            </w:r>
          </w:p>
        </w:tc>
        <w:tc>
          <w:tcPr>
            <w:tcW w:type="dxa" w:w="1728"/>
          </w:tcPr>
          <w:p>
            <w:r>
              <w:t>Yes (coverage area)</w:t>
            </w:r>
          </w:p>
        </w:tc>
        <w:tc>
          <w:tcPr>
            <w:tcW w:type="dxa" w:w="1728"/>
          </w:tcPr>
          <w:p>
            <w:r>
              <w:t>Yes</w:t>
            </w:r>
          </w:p>
        </w:tc>
      </w:tr>
      <w:tr>
        <w:tc>
          <w:tcPr>
            <w:tcW w:type="dxa" w:w="1728"/>
          </w:tcPr>
          <w:p>
            <w:r>
              <w:t>Other materials</w:t>
            </w:r>
          </w:p>
        </w:tc>
        <w:tc>
          <w:tcPr>
            <w:tcW w:type="dxa" w:w="1728"/>
          </w:tcPr>
          <w:p>
            <w:r>
              <w:t>material.{concrete, glass, metal, steel, brass, copper, aluminum, ceramic, tile, porcelain, fabric, leather, vinyl, laminate, plaster, drywall, wallpaper, carpet, paint, plastic, rubber}</w:t>
            </w:r>
          </w:p>
        </w:tc>
        <w:tc>
          <w:tcPr>
            <w:tcW w:type="dxa" w:w="1728"/>
          </w:tcPr>
          <w:p>
            <w:r>
              <w:t>Yes</w:t>
            </w:r>
          </w:p>
        </w:tc>
        <w:tc>
          <w:tcPr>
            <w:tcW w:type="dxa" w:w="1728"/>
          </w:tcPr>
          <w:p>
            <w:r>
              <w:t>Yes (coverage area)</w:t>
            </w:r>
          </w:p>
        </w:tc>
        <w:tc>
          <w:tcPr>
            <w:tcW w:type="dxa" w:w="1728"/>
          </w:tcPr>
          <w:p>
            <w:r>
              <w:t>Yes</w:t>
            </w:r>
          </w:p>
        </w:tc>
      </w:tr>
    </w:tbl>
    <w:p>
      <w:pPr>
        <w:pStyle w:val="Heading2"/>
      </w:pPr>
      <w:r>
        <w:t>Closed class lists behind namespace rows</w:t>
      </w:r>
    </w:p>
    <w:p>
      <w:r>
        <w:t>COCO-133 object/stuff classes used by the segmentation and affordance subsystems: person, bicycle, car, motorcycle, airplane, bus, train, truck, boat, traffic light, fire hydrant, stop sign, parking meter, bench, bird, cat, dog, horse, sheep, cow, elephant, bear, zebra, giraffe, backpack, umbrella, handbag, tie, suitcase, frisbee, skis, snowboard, sports ball, kite, baseball bat, baseball glove, skateboard, surfboard, tennis racket, bottle, wine glass, cup, fork, knife, spoon, bowl, banana, apple, sandwich, orange, broccoli, carrot, hot dog, pizza, donut, cake, chair, couch, potted plant, bed, dining table, toilet, tv, laptop, mouse, remote, keyboard, cell phone, microwave, oven, toaster, sink, refrigerator, book, clock, vase, scissors, teddy bear, hair drier, toothbrush, banner, blanket, bridge, cardboard, counter, curtain, door-stuff, floor-wood, flower, fruit, gravel, house, light, mirror-stuff, net, pillow, platform, playingfield, railroad, river, road, roof, sand, sea, shelf, snow, stairs, tent, towel, tree, tree-merged, wall-brick, wall-concrete, wall-other, wall-panel, wall-stone, wall-tile, wall-wood, water-other, window-blind, window-other, ceiling-merged, door-stuff-merged, floor-other-merged, food-other-merged, furniture-other-merged, ground-other-merged, mountain-merged, plant-other-merged, sky-other-merged, structural-other-merged, textile-other-merged, and vegetation.</w:t>
      </w:r>
    </w:p>
    <w:p>
      <w:r>
        <w:t>Material categories recognized by the current materials subsystem after normalization: wood, stone, marble, granite, concrete, brick, glass, metal, steel, brass, copper, aluminum, ceramic, tile, porcelain, fabric, leather, vinyl, laminate, plaster, drywall, wallpaper, carpet, paint, plastic, rubber, terrazzo, and travertine.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