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6cb2b0779b947bec653c423651245479370d627"/>
    <w:p>
      <w:pPr>
        <w:pStyle w:val="Heading1"/>
      </w:pPr>
      <w:r>
        <w:t xml:space="preserve">BASELINE_REQUIREMENTS.md — The Physical-Code Floor</w:t>
      </w:r>
    </w:p>
    <w:p>
      <w:pPr>
        <w:pStyle w:val="FirstParagraph"/>
      </w:pPr>
      <w:r>
        <w:rPr>
          <w:iCs/>
          <w:i/>
        </w:rPr>
        <w:t xml:space="preserve">Space-planning workstream,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space_planning/</w:t>
      </w:r>
      <w:r>
        <w:rPr>
          <w:iCs/>
          <w:i/>
        </w:rPr>
        <w:t xml:space="preserve">. Drafted 2026-07-15 (Fable/Claude Opus). This file holds the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physical code</w:t>
      </w:r>
      <w:r>
        <w:rPr>
          <w:iCs/>
          <w:i/>
        </w:rPr>
        <w:t xml:space="preserve">: the occupant-independent, code-mandated requirements a floor-plate layout must satisfy to be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legal and safe to occupy at all</w:t>
      </w:r>
      <w:r>
        <w:rPr>
          <w:iCs/>
          <w:i/>
        </w:rPr>
        <w:t xml:space="preserve"> </w:t>
      </w:r>
      <w:r>
        <w:rPr>
          <w:iCs/>
          <w:i/>
        </w:rPr>
        <w:t xml:space="preserve">— egress, corridor and door widths, accessibility, occupant-load/area,</w:t>
      </w:r>
      <w:r>
        <w:rPr>
          <w:iCs/>
          <w:i/>
        </w:rPr>
        <w:t xml:space="preserve"> </w:t>
      </w:r>
      <w:r>
        <w:rPr>
          <w:iCs/>
          <w:i/>
        </w:rPr>
        <w:t xml:space="preserve">minimum ventilation and light, and the fixed structural/MEP obstacles of the shell. These are the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floor beneath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the optimization</w:t>
      </w:r>
      <w:r>
        <w:rPr>
          <w:iCs/>
          <w:i/>
        </w:rPr>
        <w:t xml:space="preserve">: a layout that violates any of them is inadmissible and is never scored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CRITERIA.md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iCs/>
          <w:i/>
        </w:rPr>
        <w:t xml:space="preserve">regardless of how well it reads on the cognitive or well-being codes. Keeping them explicit and separate is the</w:t>
      </w:r>
      <w:r>
        <w:rPr>
          <w:iCs/>
          <w:i/>
        </w:rPr>
        <w:t xml:space="preserve"> </w:t>
      </w:r>
      <w:r>
        <w:rPr>
          <w:iCs/>
          <w:i/>
        </w:rPr>
        <w:t xml:space="preserve">whole discipline — we never optimize a layout that fails basic code, and we never confuse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compliant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with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good.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Start w:id="20" w:name="X886fa7b72314030d9b9170a946fcd455819ee93"/>
    <w:p>
      <w:pPr>
        <w:pStyle w:val="Heading2"/>
      </w:pPr>
      <w:r>
        <w:t xml:space="preserve">0. What this file is, and what it is emphatically not</w:t>
      </w:r>
    </w:p>
    <w:p>
      <w:pPr>
        <w:pStyle w:val="FirstParagraph"/>
      </w:pPr>
      <w:r>
        <w:rPr>
          <w:bCs/>
          <w:b/>
        </w:rPr>
        <w:t xml:space="preserve">It is</w:t>
      </w:r>
      <w:r>
        <w:t xml:space="preserve"> </w:t>
      </w:r>
      <w:r>
        <w:t xml:space="preserve">the constraint set the optimizer treats as</w:t>
      </w:r>
      <w:r>
        <w:t xml:space="preserve"> </w:t>
      </w:r>
      <w:r>
        <w:rPr>
          <w:bCs/>
          <w:b/>
        </w:rPr>
        <w:t xml:space="preserve">hard</w:t>
      </w:r>
      <w:r>
        <w:t xml:space="preserve">: masks and minimums on the</w:t>
      </w:r>
      <w:r>
        <w:t xml:space="preserve"> </w:t>
      </w:r>
      <w:r>
        <w:rPr>
          <w:rStyle w:val="VerbatimChar"/>
        </w:rPr>
        <w:t xml:space="preserve">PlanGrid</w:t>
      </w:r>
      <w:r>
        <w:t xml:space="preserve"> </w:t>
      </w:r>
      <w:r>
        <w:t xml:space="preserve">that a</w:t>
      </w:r>
      <w:r>
        <w:t xml:space="preserve"> </w:t>
      </w:r>
      <w:r>
        <w:t xml:space="preserve">candidate layout must respect before any cognitive/well-being scoring runs. Egress paths that must stay clear,</w:t>
      </w:r>
      <w:r>
        <w:t xml:space="preserve"> </w:t>
      </w:r>
      <w:r>
        <w:t xml:space="preserve">corridor widths that must not narrow, accessible routes and clearances that must be preserved, occupant loads</w:t>
      </w:r>
      <w:r>
        <w:t xml:space="preserve"> </w:t>
      </w:r>
      <w:r>
        <w:t xml:space="preserve">that set exit capacity, and the columns/cores/shafts/risers that are simply immovable.</w:t>
      </w:r>
    </w:p>
    <w:p>
      <w:pPr>
        <w:pStyle w:val="BodyText"/>
      </w:pPr>
      <w:r>
        <w:rPr>
          <w:bCs/>
          <w:b/>
        </w:rPr>
        <w:t xml:space="preserve">It is not</w:t>
      </w:r>
      <w:r>
        <w:t xml:space="preserve"> </w:t>
      </w:r>
      <w:r>
        <w:t xml:space="preserve">a substitute for a licensed code review. Building codes are</w:t>
      </w:r>
      <w:r>
        <w:t xml:space="preserve"> </w:t>
      </w:r>
      <w:r>
        <w:rPr>
          <w:bCs/>
          <w:b/>
        </w:rPr>
        <w:t xml:space="preserve">jurisdiction-specific, version-</w:t>
      </w:r>
      <w:r>
        <w:rPr>
          <w:bCs/>
          <w:b/>
        </w:rPr>
        <w:t xml:space="preserve"> </w:t>
      </w:r>
      <w:r>
        <w:rPr>
          <w:bCs/>
          <w:b/>
        </w:rPr>
        <w:t xml:space="preserve">specific, and occupancy-specific</w:t>
      </w:r>
      <w:r>
        <w:t xml:space="preserve">, and the Authority Having Jurisdiction (AHJ) is the final word. This file</w:t>
      </w:r>
      <w:r>
        <w:t xml:space="preserve"> </w:t>
      </w:r>
      <w:r>
        <w:t xml:space="preserve">encodes the</w:t>
      </w:r>
      <w:r>
        <w:t xml:space="preserve"> </w:t>
      </w:r>
      <w:r>
        <w:rPr>
          <w:bCs/>
          <w:b/>
        </w:rPr>
        <w:t xml:space="preserve">structure</w:t>
      </w:r>
      <w:r>
        <w:t xml:space="preserve"> </w:t>
      </w:r>
      <w:r>
        <w:t xml:space="preserve">of the physical code and the</w:t>
      </w:r>
      <w:r>
        <w:t xml:space="preserve"> </w:t>
      </w:r>
      <w:r>
        <w:rPr>
          <w:bCs/>
          <w:b/>
        </w:rPr>
        <w:t xml:space="preserve">typical governing values</w:t>
      </w:r>
      <w:r>
        <w:t xml:space="preserve"> </w:t>
      </w:r>
      <w:r>
        <w:t xml:space="preserve">from the model codes most</w:t>
      </w:r>
      <w:r>
        <w:t xml:space="preserve"> </w:t>
      </w:r>
      <w:r>
        <w:t xml:space="preserve">projects derive from (IBC, ADA/ANSI A117.1, ASHRAE 62.1/55, and — for David’s likely California context — the</w:t>
      </w:r>
      <w:r>
        <w:t xml:space="preserve"> </w:t>
      </w:r>
      <w:r>
        <w:t xml:space="preserve">California Building Code Title 24, which amends the IBC and has its own accessibility chapter 11B). Every specific</w:t>
      </w:r>
      <w:r>
        <w:t xml:space="preserve"> </w:t>
      </w:r>
      <w:r>
        <w:t xml:space="preserve">number below is marked as a</w:t>
      </w:r>
      <w:r>
        <w:t xml:space="preserve"> </w:t>
      </w:r>
      <w:r>
        <w:rPr>
          <w:bCs/>
          <w:b/>
        </w:rPr>
        <w:t xml:space="preserve">typical model-code value to confirm with the project’s AHJ and a licensed code</w:t>
      </w:r>
      <w:r>
        <w:rPr>
          <w:bCs/>
          <w:b/>
        </w:rPr>
        <w:t xml:space="preserve"> </w:t>
      </w:r>
      <w:r>
        <w:rPr>
          <w:bCs/>
          <w:b/>
        </w:rPr>
        <w:t xml:space="preserve">consultant</w:t>
      </w:r>
      <w:r>
        <w:t xml:space="preserve">. Treat it as the shape of the gate, not the legal determination.</w:t>
      </w:r>
    </w:p>
    <w:p>
      <w:pPr>
        <w:pStyle w:val="BodyText"/>
      </w:pPr>
      <w:r>
        <w:t xml:space="preserve">Framing discipline (from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):</w:t>
      </w:r>
      <w:r>
        <w:t xml:space="preserve"> </w:t>
      </w:r>
      <w:r>
        <w:rPr>
          <w:bCs/>
          <w:b/>
        </w:rPr>
        <w:t xml:space="preserve">physical code sets the admissible; cognitive/well-being codes rank</w:t>
      </w:r>
      <w:r>
        <w:rPr>
          <w:bCs/>
          <w:b/>
        </w:rPr>
        <w:t xml:space="preserve"> </w:t>
      </w:r>
      <w:r>
        <w:rPr>
          <w:bCs/>
          <w:b/>
        </w:rPr>
        <w:t xml:space="preserve">within it.</w:t>
      </w:r>
      <w:r>
        <w:t xml:space="preserve"> </w:t>
      </w:r>
      <w:r>
        <w:t xml:space="preserve">This file is the admissibility test.</w:t>
      </w:r>
      <w:r>
        <w:t xml:space="preserve"> </w:t>
      </w:r>
      <w:r>
        <w:rPr>
          <w:rStyle w:val="VerbatimChar"/>
        </w:rPr>
        <w:t xml:space="preserve">CRITERIA.md</w:t>
      </w:r>
      <w:r>
        <w:t xml:space="preserve"> </w:t>
      </w:r>
      <w:r>
        <w:t xml:space="preserve">never sees a non-compliant plan.</w:t>
      </w:r>
    </w:p>
    <w:p>
      <w:r>
        <w:pict>
          <v:rect style="width:0;height:1.5pt" o:hralign="center" o:hrstd="t" o:hr="t"/>
        </w:pict>
      </w:r>
    </w:p>
    <w:bookmarkEnd w:id="20"/>
    <w:bookmarkStart w:id="21" w:name="X9d9cd8966bf0b89aded4ebfd0b59429c5011f0a"/>
    <w:p>
      <w:pPr>
        <w:pStyle w:val="Heading2"/>
      </w:pPr>
      <w:r>
        <w:t xml:space="preserve">1. Egress and life safety (usually the binding constraint on layout)</w:t>
      </w:r>
    </w:p>
    <w:p>
      <w:pPr>
        <w:pStyle w:val="FirstParagraph"/>
      </w:pPr>
      <w:r>
        <w:t xml:space="preserve">Egress is where the physical code most directly shapes a plan, because it sizes and locates the circulation the</w:t>
      </w:r>
      <w:r>
        <w:t xml:space="preserve"> </w:t>
      </w:r>
      <w:r>
        <w:t xml:space="preserve">rest of the layout must hang on.</w:t>
      </w:r>
    </w:p>
    <w:p>
      <w:pPr>
        <w:pStyle w:val="BodyText"/>
      </w:pPr>
      <w:r>
        <w:rPr>
          <w:bCs/>
          <w:b/>
        </w:rPr>
        <w:t xml:space="preserve">Occupant load</w:t>
      </w:r>
      <w:r>
        <w:t xml:space="preserve"> </w:t>
      </w:r>
      <w:r>
        <w:t xml:space="preserve">— the design population, computed from area ÷ an occupant-load factor, which then drives exit</w:t>
      </w:r>
      <w:r>
        <w:t xml:space="preserve"> </w:t>
      </w:r>
      <w:r>
        <w:t xml:space="preserve">count and width. Typical model value for business/office use: ~150 sq ft (≈13.9 m²) gross per occupant for the</w:t>
      </w:r>
      <w:r>
        <w:t xml:space="preserve"> </w:t>
      </w:r>
      <w:r>
        <w:rPr>
          <w:iCs/>
          <w:i/>
        </w:rPr>
        <w:t xml:space="preserve">egress</w:t>
      </w:r>
      <w:r>
        <w:t xml:space="preserve"> </w:t>
      </w:r>
      <w:r>
        <w:t xml:space="preserve">calculation (IBC Table 1004.5; concentrated/assembly and other uses differ sharply).</w:t>
      </w:r>
      <w:r>
        <w:t xml:space="preserve"> </w:t>
      </w:r>
      <w:r>
        <w:rPr>
          <w:iCs/>
          <w:i/>
        </w:rPr>
        <w:t xml:space="preserve">Confirm factor by</w:t>
      </w:r>
      <w:r>
        <w:rPr>
          <w:iCs/>
          <w:i/>
        </w:rPr>
        <w:t xml:space="preserve"> </w:t>
      </w:r>
      <w:r>
        <w:rPr>
          <w:iCs/>
          <w:i/>
        </w:rPr>
        <w:t xml:space="preserve">use and jurisdiction.</w:t>
      </w:r>
    </w:p>
    <w:p>
      <w:pPr>
        <w:pStyle w:val="BodyText"/>
      </w:pPr>
      <w:r>
        <w:rPr>
          <w:bCs/>
          <w:b/>
        </w:rPr>
        <w:t xml:space="preserve">Number of exits</w:t>
      </w:r>
      <w:r>
        <w:t xml:space="preserve"> </w:t>
      </w:r>
      <w:r>
        <w:t xml:space="preserve">— generally ≥2 exits/exit-access doorways once occupant load or travel distance exceeds the</w:t>
      </w:r>
      <w:r>
        <w:t xml:space="preserve"> </w:t>
      </w:r>
      <w:r>
        <w:t xml:space="preserve">single-exit thresholds; ≥3 above ~500, ≥4 above ~1000 occupants (IBC 1006). Exits must be</w:t>
      </w:r>
      <w:r>
        <w:t xml:space="preserve"> </w:t>
      </w:r>
      <w:r>
        <w:rPr>
          <w:bCs/>
          <w:b/>
        </w:rPr>
        <w:t xml:space="preserve">remotely separated</w:t>
      </w:r>
      <w:r>
        <w:t xml:space="preserve"> </w:t>
      </w:r>
      <w:r>
        <w:t xml:space="preserve">(≥ ½ the space’s diagonal, or ⅓ with a sprinkler system).</w:t>
      </w:r>
    </w:p>
    <w:p>
      <w:pPr>
        <w:pStyle w:val="BodyText"/>
      </w:pPr>
      <w:r>
        <w:rPr>
          <w:bCs/>
          <w:b/>
        </w:rPr>
        <w:t xml:space="preserve">Egress width</w:t>
      </w:r>
      <w:r>
        <w:t xml:space="preserve"> </w:t>
      </w:r>
      <w:r>
        <w:t xml:space="preserve">— capacity per occupant: typical ~0.2 in/occupant for level components (corridors, doors),</w:t>
      </w:r>
      <w:r>
        <w:t xml:space="preserve"> </w:t>
      </w:r>
      <w:r>
        <w:t xml:space="preserve">~0.3 in/occupant for stairs, with sprinklers (IBC 1005). This sets minimum corridor and door capacity as a</w:t>
      </w:r>
      <w:r>
        <w:t xml:space="preserve"> </w:t>
      </w:r>
      <w:r>
        <w:t xml:space="preserve">function of the population served.</w:t>
      </w:r>
    </w:p>
    <w:p>
      <w:pPr>
        <w:pStyle w:val="BodyText"/>
      </w:pPr>
      <w:r>
        <w:rPr>
          <w:bCs/>
          <w:b/>
        </w:rPr>
        <w:t xml:space="preserve">Travel distance, common path, dead-ends</w:t>
      </w:r>
      <w:r>
        <w:t xml:space="preserve"> </w:t>
      </w:r>
      <w:r>
        <w:t xml:space="preserve">— maximum travel distance to an exit (commonly ~200–300 ft with</w:t>
      </w:r>
      <w:r>
        <w:t xml:space="preserve"> </w:t>
      </w:r>
      <w:r>
        <w:t xml:space="preserve">sprinklers, use-dependent);</w:t>
      </w:r>
      <w:r>
        <w:t xml:space="preserve"> </w:t>
      </w:r>
      <w:r>
        <w:rPr>
          <w:bCs/>
          <w:b/>
        </w:rPr>
        <w:t xml:space="preserve">common path of egress travel</w:t>
      </w:r>
      <w:r>
        <w:t xml:space="preserve"> </w:t>
      </w:r>
      <w:r>
        <w:t xml:space="preserve">limit (~75–100 ft) before two independent routes</w:t>
      </w:r>
      <w:r>
        <w:t xml:space="preserve"> </w:t>
      </w:r>
      <w:r>
        <w:t xml:space="preserve">must be available;</w:t>
      </w:r>
      <w:r>
        <w:t xml:space="preserve"> </w:t>
      </w:r>
      <w:r>
        <w:rPr>
          <w:bCs/>
          <w:b/>
        </w:rPr>
        <w:t xml:space="preserve">dead-end corridor</w:t>
      </w:r>
      <w:r>
        <w:t xml:space="preserve"> </w:t>
      </w:r>
      <w:r>
        <w:t xml:space="preserve">limit (commonly ~20–50 ft). These are the numbers that most often force</w:t>
      </w:r>
      <w:r>
        <w:t xml:space="preserve"> </w:t>
      </w:r>
      <w:r>
        <w:t xml:space="preserve">a second aisle or a through-route in an open plan. (IBC 1006/1017/1020.)</w:t>
      </w:r>
    </w:p>
    <w:p>
      <w:pPr>
        <w:pStyle w:val="BodyText"/>
      </w:pPr>
      <w:r>
        <w:rPr>
          <w:bCs/>
          <w:b/>
        </w:rPr>
        <w:t xml:space="preserve">Corridor fire rating &amp; smoke</w:t>
      </w:r>
      <w:r>
        <w:t xml:space="preserve"> </w:t>
      </w:r>
      <w:r>
        <w:t xml:space="preserve">— corridors serving certain occupant loads require a fire-resistance rating and,</w:t>
      </w:r>
      <w:r>
        <w:t xml:space="preserve"> </w:t>
      </w:r>
      <w:r>
        <w:t xml:space="preserve">in larger floors, smoke compartments and areas of refuge (below). (IBC 1020, 1009.)</w:t>
      </w:r>
    </w:p>
    <w:p>
      <w:pPr>
        <w:pStyle w:val="BodyText"/>
      </w:pPr>
      <w:r>
        <w:rPr>
          <w:bCs/>
          <w:b/>
        </w:rPr>
        <w:t xml:space="preserve">Encoding for the optimizer:</w:t>
      </w:r>
      <w:r>
        <w:t xml:space="preserve"> </w:t>
      </w:r>
      <w:r>
        <w:t xml:space="preserve">required egress corridors become</w:t>
      </w:r>
      <w:r>
        <w:t xml:space="preserve"> </w:t>
      </w:r>
      <w:r>
        <w:rPr>
          <w:bCs/>
          <w:b/>
        </w:rPr>
        <w:t xml:space="preserve">protected clear-path masks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PlanGrid</w:t>
      </w:r>
      <w:r>
        <w:t xml:space="preserve"> </w:t>
      </w:r>
      <w:r>
        <w:t xml:space="preserve">(cells that must remain FREE and at minimum width); exits are fixed nodes; travel-distance and common-path limits</w:t>
      </w:r>
      <w:r>
        <w:t xml:space="preserve"> </w:t>
      </w:r>
      <w:r>
        <w:t xml:space="preserve">are checked as shortest-path constraints from every occupiable cell to the nearest two exits.</w:t>
      </w:r>
    </w:p>
    <w:p>
      <w:r>
        <w:pict>
          <v:rect style="width:0;height:1.5pt" o:hralign="center" o:hrstd="t" o:hr="t"/>
        </w:pict>
      </w:r>
    </w:p>
    <w:bookmarkEnd w:id="21"/>
    <w:bookmarkStart w:id="22" w:name="corridors-doors-and-circulation-widths"/>
    <w:p>
      <w:pPr>
        <w:pStyle w:val="Heading2"/>
      </w:pPr>
      <w:r>
        <w:t xml:space="preserve">2. Corridors, doors, and circulation widths</w:t>
      </w:r>
    </w:p>
    <w:p>
      <w:pPr>
        <w:pStyle w:val="FirstParagraph"/>
      </w:pPr>
      <w:r>
        <w:t xml:space="preserve">Minimums that set the geometry every desk and room must leave clear: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Corridor minimum width</w:t>
      </w:r>
      <w:r>
        <w:t xml:space="preserve"> </w:t>
      </w:r>
      <w:r>
        <w:t xml:space="preserve">— commonly ≥44 in (1118 mm) for corridors serving an occupant load ≥50; ≥36 in for</w:t>
      </w:r>
      <w:r>
        <w:t xml:space="preserve"> </w:t>
      </w:r>
      <w:r>
        <w:t xml:space="preserve">smaller loads (IBC 1020.2), but egress-capacity (§1) can require more. Accessible routes impose their own floor</w:t>
      </w:r>
      <w:r>
        <w:t xml:space="preserve"> </w:t>
      </w:r>
      <w:r>
        <w:t xml:space="preserve">(below).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Door clear width</w:t>
      </w:r>
      <w:r>
        <w:t xml:space="preserve"> </w:t>
      </w:r>
      <w:r>
        <w:t xml:space="preserve">— ≥32 in (815 mm) clear at 90° for accessible doors (ADA 404); egress doors sized for</w:t>
      </w:r>
      <w:r>
        <w:t xml:space="preserve"> </w:t>
      </w:r>
      <w:r>
        <w:t xml:space="preserve">their occupant load and generally ≥32 in clear.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Aisle/aisle-accessway widths</w:t>
      </w:r>
      <w:r>
        <w:t xml:space="preserve"> </w:t>
      </w:r>
      <w:r>
        <w:t xml:space="preserve">in open-plan workstation fields — governed by egress (a workstation cluster is</w:t>
      </w:r>
      <w:r>
        <w:t xml:space="preserve"> </w:t>
      </w:r>
      <w:r>
        <w:t xml:space="preserve">a room with its own common-path and aisle requirements). Typical primary aisle ≥36 in, often wider by capacity.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Ceiling height</w:t>
      </w:r>
      <w:r>
        <w:t xml:space="preserve"> </w:t>
      </w:r>
      <w:r>
        <w:t xml:space="preserve">— habitable/occupiable spaces generally ≥7 ft 6 in (2286 mm) over the required area (IBC</w:t>
      </w:r>
      <w:r>
        <w:t xml:space="preserve"> </w:t>
      </w:r>
      <w:r>
        <w:t xml:space="preserve">1208), with allowances for portions.</w:t>
      </w:r>
    </w:p>
    <w:p>
      <w:pPr>
        <w:pStyle w:val="FirstParagraph"/>
      </w:pPr>
      <w:r>
        <w:rPr>
          <w:bCs/>
          <w:b/>
        </w:rPr>
        <w:t xml:space="preserve">Encoding:</w:t>
      </w:r>
      <w:r>
        <w:t xml:space="preserve"> </w:t>
      </w:r>
      <w:r>
        <w:t xml:space="preserve">these are</w:t>
      </w:r>
      <w:r>
        <w:t xml:space="preserve"> </w:t>
      </w:r>
      <w:r>
        <w:rPr>
          <w:bCs/>
          <w:b/>
        </w:rPr>
        <w:t xml:space="preserve">minimum-width constraints</w:t>
      </w:r>
      <w:r>
        <w:t xml:space="preserve"> </w:t>
      </w:r>
      <w:r>
        <w:t xml:space="preserve">on the free-space channels of the</w:t>
      </w:r>
      <w:r>
        <w:t xml:space="preserve"> </w:t>
      </w:r>
      <w:r>
        <w:rPr>
          <w:rStyle w:val="VerbatimChar"/>
        </w:rPr>
        <w:t xml:space="preserve">PlanGrid</w:t>
      </w:r>
      <w:r>
        <w:t xml:space="preserve">; the layout’s</w:t>
      </w:r>
      <w:r>
        <w:t xml:space="preserve"> </w:t>
      </w:r>
      <w:r>
        <w:t xml:space="preserve">own walls and furniture may not pinch a required route below its floor.</w:t>
      </w:r>
    </w:p>
    <w:p>
      <w:r>
        <w:pict>
          <v:rect style="width:0;height:1.5pt" o:hralign="center" o:hrstd="t" o:hr="t"/>
        </w:pict>
      </w:r>
    </w:p>
    <w:bookmarkEnd w:id="22"/>
    <w:bookmarkStart w:id="23" w:name="accessibility-ada-ansi-a117.1-cbc-11b"/>
    <w:p>
      <w:pPr>
        <w:pStyle w:val="Heading2"/>
      </w:pPr>
      <w:r>
        <w:t xml:space="preserve">3. Accessibility (ADA / ANSI A117.1 / CBC 11B)</w:t>
      </w:r>
    </w:p>
    <w:p>
      <w:pPr>
        <w:pStyle w:val="FirstParagraph"/>
      </w:pPr>
      <w:r>
        <w:t xml:space="preserve">Accessibility is a hard civil-rights constraint, not a comfort preference, and it shapes clearances everywhere: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Accessible route</w:t>
      </w:r>
      <w:r>
        <w:t xml:space="preserve"> </w:t>
      </w:r>
      <w:r>
        <w:t xml:space="preserve">— a continuous unobstructed path connecting all required spaces; ≥36 in clear width</w:t>
      </w:r>
      <w:r>
        <w:t xml:space="preserve"> </w:t>
      </w:r>
      <w:r>
        <w:t xml:space="preserve">(≥48 in where two wheelchairs pass), with defined passing spaces (ADA 403).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Turning space</w:t>
      </w:r>
      <w:r>
        <w:t xml:space="preserve"> </w:t>
      </w:r>
      <w:r>
        <w:t xml:space="preserve">— a 60 in (1525 mm) diameter circle or T-turn in spaces requiring wheelchair maneuvering</w:t>
      </w:r>
      <w:r>
        <w:t xml:space="preserve"> </w:t>
      </w:r>
      <w:r>
        <w:t xml:space="preserve">(ADA 304).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Clear floor space</w:t>
      </w:r>
      <w:r>
        <w:t xml:space="preserve"> </w:t>
      </w:r>
      <w:r>
        <w:t xml:space="preserve">— 30 × 48 in (760 × 1220 mm) at each accessible element; reach ranges 15–48 in (ADA 305,</w:t>
      </w:r>
      <w:r>
        <w:t xml:space="preserve"> </w:t>
      </w:r>
      <w:r>
        <w:t xml:space="preserve">308).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Accessible workstations</w:t>
      </w:r>
      <w:r>
        <w:t xml:space="preserve"> </w:t>
      </w:r>
      <w:r>
        <w:t xml:space="preserve">— a proportion of workstations and all common-use elements must be accessible</w:t>
      </w:r>
      <w:r>
        <w:t xml:space="preserve"> </w:t>
      </w:r>
      <w:r>
        <w:t xml:space="preserve">(ADA 226/902; percentage varies by element and jurisdiction —</w:t>
      </w:r>
      <w:r>
        <w:t xml:space="preserve"> </w:t>
      </w:r>
      <w:r>
        <w:rPr>
          <w:iCs/>
          <w:i/>
        </w:rPr>
        <w:t xml:space="preserve">confirm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Doors, thresholds, maneuvering clearances</w:t>
      </w:r>
      <w:r>
        <w:t xml:space="preserve"> </w:t>
      </w:r>
      <w:r>
        <w:t xml:space="preserve">— clear width, threshold height ≤ ½ in, and latch-/hinge-side</w:t>
      </w:r>
      <w:r>
        <w:t xml:space="preserve"> </w:t>
      </w:r>
      <w:r>
        <w:t xml:space="preserve">maneuvering clearances (ADA 404). California CBC 11B is generally</w:t>
      </w:r>
      <w:r>
        <w:t xml:space="preserve"> </w:t>
      </w:r>
      <w:r>
        <w:rPr>
          <w:bCs/>
          <w:b/>
        </w:rPr>
        <w:t xml:space="preserve">more stringent</w:t>
      </w:r>
      <w:r>
        <w:t xml:space="preserve"> </w:t>
      </w:r>
      <w:r>
        <w:t xml:space="preserve">than federal ADA — use the</w:t>
      </w:r>
      <w:r>
        <w:t xml:space="preserve"> </w:t>
      </w:r>
      <w:r>
        <w:t xml:space="preserve">governing one.</w:t>
      </w:r>
    </w:p>
    <w:p>
      <w:pPr>
        <w:pStyle w:val="FirstParagraph"/>
      </w:pPr>
      <w:r>
        <w:rPr>
          <w:bCs/>
          <w:b/>
        </w:rPr>
        <w:t xml:space="preserve">Encoding:</w:t>
      </w:r>
      <w:r>
        <w:t xml:space="preserve"> </w:t>
      </w:r>
      <w:r>
        <w:t xml:space="preserve">turning circles and clear floor spaces are</w:t>
      </w:r>
      <w:r>
        <w:t xml:space="preserve"> </w:t>
      </w:r>
      <w:r>
        <w:rPr>
          <w:bCs/>
          <w:b/>
        </w:rPr>
        <w:t xml:space="preserve">required-clearance masks</w:t>
      </w:r>
      <w:r>
        <w:t xml:space="preserve"> </w:t>
      </w:r>
      <w:r>
        <w:t xml:space="preserve">attached to every accessible</w:t>
      </w:r>
      <w:r>
        <w:t xml:space="preserve"> </w:t>
      </w:r>
      <w:r>
        <w:t xml:space="preserve">element and along the accessible route; the optimizer may not place furniture into them.</w:t>
      </w:r>
    </w:p>
    <w:p>
      <w:r>
        <w:pict>
          <v:rect style="width:0;height:1.5pt" o:hralign="center" o:hrstd="t" o:hr="t"/>
        </w:pict>
      </w:r>
    </w:p>
    <w:bookmarkEnd w:id="23"/>
    <w:bookmarkStart w:id="24" w:name="occupancy-area-and-density-minimums"/>
    <w:p>
      <w:pPr>
        <w:pStyle w:val="Heading2"/>
      </w:pPr>
      <w:r>
        <w:t xml:space="preserve">4. Occupancy, area, and density minimums</w:t>
      </w:r>
    </w:p>
    <w:p>
      <w:pPr>
        <w:pStyle w:val="FirstParagraph"/>
      </w:pPr>
      <w:r>
        <w:t xml:space="preserve">Distinct from the</w:t>
      </w:r>
      <w:r>
        <w:t xml:space="preserve"> </w:t>
      </w:r>
      <w:r>
        <w:rPr>
          <w:iCs/>
          <w:i/>
        </w:rPr>
        <w:t xml:space="preserve">planning</w:t>
      </w:r>
      <w:r>
        <w:t xml:space="preserve"> </w:t>
      </w:r>
      <w:r>
        <w:t xml:space="preserve">densities the cognitive/well-being codes reason about, these are the code and lease</w:t>
      </w:r>
      <w:r>
        <w:t xml:space="preserve"> </w:t>
      </w:r>
      <w:r>
        <w:t xml:space="preserve">floors: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Occupant-load factor</w:t>
      </w:r>
      <w:r>
        <w:t xml:space="preserve"> </w:t>
      </w:r>
      <w:r>
        <w:t xml:space="preserve">(§1) both sizes egress and, inverted, sets a maximum defensible density for a given</w:t>
      </w:r>
      <w:r>
        <w:t xml:space="preserve"> </w:t>
      </w:r>
      <w:r>
        <w:t xml:space="preserve">exit provision.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Minimum room/space areas</w:t>
      </w:r>
      <w:r>
        <w:t xml:space="preserve"> </w:t>
      </w:r>
      <w:r>
        <w:t xml:space="preserve">for specific functions (e.g., accessible toilet rooms, required break areas where</w:t>
      </w:r>
      <w:r>
        <w:t xml:space="preserve"> </w:t>
      </w:r>
      <w:r>
        <w:t xml:space="preserve">mandated) — use- and jurisdiction-specific.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Plumbing fixture counts</w:t>
      </w:r>
      <w:r>
        <w:t xml:space="preserve"> </w:t>
      </w:r>
      <w:r>
        <w:t xml:space="preserve">— minimum water closets/lavatories per occupant by use (IPC/UPC Table 403.1) — a</w:t>
      </w:r>
      <w:r>
        <w:t xml:space="preserve"> </w:t>
      </w:r>
      <w:r>
        <w:t xml:space="preserve">layout that seats N must be served by adequate fixtures on the floor or within travel distance.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Parking/loading, if in scope</w:t>
      </w:r>
      <w:r>
        <w:t xml:space="preserve"> </w:t>
      </w:r>
      <w:r>
        <w:t xml:space="preserve">— typically out of interior-layout scope but noted where a floor’s program</w:t>
      </w:r>
      <w:r>
        <w:t xml:space="preserve"> </w:t>
      </w:r>
      <w:r>
        <w:t xml:space="preserve">triggers it.</w:t>
      </w:r>
    </w:p>
    <w:p>
      <w:pPr>
        <w:pStyle w:val="FirstParagraph"/>
      </w:pPr>
      <w:r>
        <w:rPr>
          <w:bCs/>
          <w:b/>
        </w:rPr>
        <w:t xml:space="preserve">Encoding:</w:t>
      </w:r>
      <w:r>
        <w:t xml:space="preserve"> </w:t>
      </w:r>
      <w:r>
        <w:t xml:space="preserve">density is checked against the exit provision (a layout may not seat more than the egress supports);</w:t>
      </w:r>
      <w:r>
        <w:t xml:space="preserve"> </w:t>
      </w:r>
      <w:r>
        <w:t xml:space="preserve">fixture adequacy is a floor-level count check, not a per-cell mask.</w:t>
      </w:r>
    </w:p>
    <w:p>
      <w:r>
        <w:pict>
          <v:rect style="width:0;height:1.5pt" o:hralign="center" o:hrstd="t" o:hr="t"/>
        </w:pict>
      </w:r>
    </w:p>
    <w:bookmarkEnd w:id="24"/>
    <w:bookmarkStart w:id="25" w:name="Xb63c2711a7ab1350b98147db70640d0937c3d47"/>
    <w:p>
      <w:pPr>
        <w:pStyle w:val="Heading2"/>
      </w:pPr>
      <w:r>
        <w:t xml:space="preserve">5. Minimum light, ventilation, and thermal (the code floor, not the cognitive target)</w:t>
      </w:r>
    </w:p>
    <w:p>
      <w:pPr>
        <w:pStyle w:val="FirstParagraph"/>
      </w:pPr>
      <w:r>
        <w:t xml:space="preserve">These overlap in</w:t>
      </w:r>
      <w:r>
        <w:t xml:space="preserve"> </w:t>
      </w:r>
      <w:r>
        <w:rPr>
          <w:iCs/>
          <w:i/>
        </w:rPr>
        <w:t xml:space="preserve">subject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CRITERIA.md</w:t>
      </w:r>
      <w:r>
        <w:t xml:space="preserve"> </w:t>
      </w:r>
      <w:r>
        <w:t xml:space="preserve">C9/C10/C18/C21 but differ in</w:t>
      </w:r>
      <w:r>
        <w:t xml:space="preserve"> </w:t>
      </w:r>
      <w:r>
        <w:rPr>
          <w:iCs/>
          <w:i/>
        </w:rPr>
        <w:t xml:space="preserve">role</w:t>
      </w:r>
      <w:r>
        <w:t xml:space="preserve">: here they are</w:t>
      </w:r>
      <w:r>
        <w:t xml:space="preserve"> </w:t>
      </w:r>
      <w:r>
        <w:rPr>
          <w:bCs/>
          <w:b/>
        </w:rPr>
        <w:t xml:space="preserve">code minimums</w:t>
      </w:r>
      <w:r>
        <w:rPr>
          <w:bCs/>
          <w:b/>
        </w:rPr>
        <w:t xml:space="preserve"> </w:t>
      </w:r>
      <w:r>
        <w:rPr>
          <w:bCs/>
          <w:b/>
        </w:rPr>
        <w:t xml:space="preserve">that gate</w:t>
      </w:r>
      <w:r>
        <w:t xml:space="preserve">, there they are</w:t>
      </w:r>
      <w:r>
        <w:t xml:space="preserve"> </w:t>
      </w:r>
      <w:r>
        <w:rPr>
          <w:bCs/>
          <w:b/>
        </w:rPr>
        <w:t xml:space="preserve">quality targets that rank</w:t>
      </w:r>
      <w:r>
        <w:t xml:space="preserve">. The distinction is the whole point — the physical code</w:t>
      </w:r>
      <w:r>
        <w:t xml:space="preserve"> </w:t>
      </w:r>
      <w:r>
        <w:t xml:space="preserve">asks</w:t>
      </w:r>
      <w:r>
        <w:t xml:space="preserve"> </w:t>
      </w:r>
      <w:r>
        <w:t xml:space="preserve">“</w:t>
      </w:r>
      <w:r>
        <w:t xml:space="preserve">is there enough outdoor air / light to be legal?</w:t>
      </w:r>
      <w:r>
        <w:t xml:space="preserve">”</w:t>
      </w:r>
      <w:r>
        <w:t xml:space="preserve">; the cognitive/well-being codes ask</w:t>
      </w:r>
      <w:r>
        <w:t xml:space="preserve"> </w:t>
      </w:r>
      <w:r>
        <w:t xml:space="preserve">“</w:t>
      </w:r>
      <w:r>
        <w:t xml:space="preserve">is the daylight</w:t>
      </w:r>
      <w:r>
        <w:t xml:space="preserve"> </w:t>
      </w:r>
      <w:r>
        <w:t xml:space="preserve">distributed equitably and is the melanopic dose enough to support circadian health?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Ventilation / outdoor air</w:t>
      </w:r>
      <w:r>
        <w:t xml:space="preserve"> </w:t>
      </w:r>
      <w:r>
        <w:t xml:space="preserve">— minimum outdoor-air rates per ASHRAE 62.1 (office ~5 L/s/person + an area</w:t>
      </w:r>
      <w:r>
        <w:t xml:space="preserve"> </w:t>
      </w:r>
      <w:r>
        <w:t xml:space="preserve">component;</w:t>
      </w:r>
      <w:r>
        <w:t xml:space="preserve"> </w:t>
      </w:r>
      <w:r>
        <w:rPr>
          <w:iCs/>
          <w:i/>
        </w:rPr>
        <w:t xml:space="preserve">confirm by zone</w:t>
      </w:r>
      <w:r>
        <w:t xml:space="preserve">) and mechanical-code minimums. CO₂ is a</w:t>
      </w:r>
      <w:r>
        <w:t xml:space="preserve"> </w:t>
      </w:r>
      <w:r>
        <w:rPr>
          <w:iCs/>
          <w:i/>
        </w:rPr>
        <w:t xml:space="preserve">proxy</w:t>
      </w:r>
      <w:r>
        <w:t xml:space="preserve"> </w:t>
      </w:r>
      <w:r>
        <w:t xml:space="preserve">the cognitive code uses; the code</w:t>
      </w:r>
      <w:r>
        <w:t xml:space="preserve"> </w:t>
      </w:r>
      <w:r>
        <w:t xml:space="preserve">floor is the delivered outdoor-air rate.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Natural light / window area</w:t>
      </w:r>
      <w:r>
        <w:t xml:space="preserve"> </w:t>
      </w:r>
      <w:r>
        <w:t xml:space="preserve">— some jurisdictions mandate a minimum glazing area or an equivalent artificial</w:t>
      </w:r>
      <w:r>
        <w:t xml:space="preserve"> </w:t>
      </w:r>
      <w:r>
        <w:t xml:space="preserve">minimum for occupiable spaces; many commercial offices meet it artificially.</w:t>
      </w:r>
      <w:r>
        <w:t xml:space="preserve"> </w:t>
      </w:r>
      <w:r>
        <w:rPr>
          <w:iCs/>
          <w:i/>
        </w:rPr>
        <w:t xml:space="preserve">Confirm.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Illuminance minimums</w:t>
      </w:r>
      <w:r>
        <w:t xml:space="preserve"> </w:t>
      </w:r>
      <w:r>
        <w:t xml:space="preserve">— maintained task-illuminance floors (from the mechanical/energy code and IES</w:t>
      </w:r>
      <w:r>
        <w:t xml:space="preserve"> </w:t>
      </w:r>
      <w:r>
        <w:t xml:space="preserve">practice) — a</w:t>
      </w:r>
      <w:r>
        <w:t xml:space="preserve"> </w:t>
      </w:r>
      <w:r>
        <w:rPr>
          <w:iCs/>
          <w:i/>
        </w:rPr>
        <w:t xml:space="preserve">minimum</w:t>
      </w:r>
      <w:r>
        <w:t xml:space="preserve">, whereas the cognitive code cares about distribution, glare, and daylight quality.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Thermal</w:t>
      </w:r>
      <w:r>
        <w:t xml:space="preserve"> </w:t>
      </w:r>
      <w:r>
        <w:t xml:space="preserve">— ASHRAE 55 is the comfort</w:t>
      </w:r>
      <w:r>
        <w:t xml:space="preserve"> </w:t>
      </w:r>
      <w:r>
        <w:rPr>
          <w:iCs/>
          <w:i/>
        </w:rPr>
        <w:t xml:space="preserve">standard</w:t>
      </w:r>
      <w:r>
        <w:t xml:space="preserve"> </w:t>
      </w:r>
      <w:r>
        <w:t xml:space="preserve">(not usually a hard life-safety code, but often contractually</w:t>
      </w:r>
      <w:r>
        <w:t xml:space="preserve"> </w:t>
      </w:r>
      <w:r>
        <w:t xml:space="preserve">binding); the energy code (Title 24 Part 6 in California) constrains the systems. C21 in</w:t>
      </w:r>
      <w:r>
        <w:t xml:space="preserve"> </w:t>
      </w:r>
      <w:r>
        <w:rPr>
          <w:rStyle w:val="VerbatimChar"/>
        </w:rPr>
        <w:t xml:space="preserve">CRITERIA.md</w:t>
      </w:r>
      <w:r>
        <w:t xml:space="preserve"> </w:t>
      </w:r>
      <w:r>
        <w:t xml:space="preserve">ranks</w:t>
      </w:r>
      <w:r>
        <w:t xml:space="preserve"> </w:t>
      </w:r>
      <w:r>
        <w:t xml:space="preserve">comfort; here we note only the mandated system capacity and any minimum.</w:t>
      </w:r>
    </w:p>
    <w:p>
      <w:pPr>
        <w:pStyle w:val="FirstParagraph"/>
      </w:pPr>
      <w:r>
        <w:rPr>
          <w:bCs/>
          <w:b/>
        </w:rPr>
        <w:t xml:space="preserve">Encoding:</w:t>
      </w:r>
      <w:r>
        <w:t xml:space="preserve"> </w:t>
      </w:r>
      <w:r>
        <w:t xml:space="preserve">these are mostly</w:t>
      </w:r>
      <w:r>
        <w:t xml:space="preserve"> </w:t>
      </w:r>
      <w:r>
        <w:rPr>
          <w:bCs/>
          <w:b/>
        </w:rPr>
        <w:t xml:space="preserve">floor-level or zone-level minimum checks</w:t>
      </w:r>
      <w:r>
        <w:t xml:space="preserve">, not geometry masks — except window</w:t>
      </w:r>
      <w:r>
        <w:t xml:space="preserve"> </w:t>
      </w:r>
      <w:r>
        <w:t xml:space="preserve">access, which (where mandated) becomes a required seat-to-glazing constraint that also happens to serve C9.</w:t>
      </w:r>
    </w:p>
    <w:p>
      <w:r>
        <w:pict>
          <v:rect style="width:0;height:1.5pt" o:hralign="center" o:hrstd="t" o:hr="t"/>
        </w:pict>
      </w:r>
    </w:p>
    <w:bookmarkEnd w:id="25"/>
    <w:bookmarkStart w:id="26" w:name="X7f4fb2065dd73e88a5d73294edf8bc6680fe51c"/>
    <w:p>
      <w:pPr>
        <w:pStyle w:val="Heading2"/>
      </w:pPr>
      <w:r>
        <w:t xml:space="preserve">6. Fixed shell — the immovable geometry every layout inherits</w:t>
      </w:r>
    </w:p>
    <w:p>
      <w:pPr>
        <w:pStyle w:val="FirstParagraph"/>
      </w:pPr>
      <w:r>
        <w:t xml:space="preserve">Not</w:t>
      </w:r>
      <w:r>
        <w:t xml:space="preserve"> </w:t>
      </w:r>
      <w:r>
        <w:t xml:space="preserve">“</w:t>
      </w:r>
      <w:r>
        <w:t xml:space="preserve">requirements</w:t>
      </w:r>
      <w:r>
        <w:t xml:space="preserve">”</w:t>
      </w:r>
      <w:r>
        <w:t xml:space="preserve"> </w:t>
      </w:r>
      <w:r>
        <w:t xml:space="preserve">in the regulatory sense but</w:t>
      </w:r>
      <w:r>
        <w:t xml:space="preserve"> </w:t>
      </w:r>
      <w:r>
        <w:rPr>
          <w:bCs/>
          <w:b/>
        </w:rPr>
        <w:t xml:space="preserve">hard constraints</w:t>
      </w:r>
      <w:r>
        <w:t xml:space="preserve"> </w:t>
      </w:r>
      <w:r>
        <w:t xml:space="preserve">the optimizer must treat identically: the</w:t>
      </w:r>
      <w:r>
        <w:t xml:space="preserve"> </w:t>
      </w:r>
      <w:r>
        <w:t xml:space="preserve">structure and services that cannot move within a tenant fit-out.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Structural columns and grid, core walls, shear walls</w:t>
      </w:r>
      <w:r>
        <w:t xml:space="preserve"> </w:t>
      </w:r>
      <w:r>
        <w:t xml:space="preserve">— fixed obstacles.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Elevator/stair cores, shafts, mechanical/electrical/plumbing risers, restrooms</w:t>
      </w:r>
      <w:r>
        <w:t xml:space="preserve"> </w:t>
      </w:r>
      <w:r>
        <w:t xml:space="preserve">— fixed; they also anchor</w:t>
      </w:r>
      <w:r>
        <w:t xml:space="preserve"> </w:t>
      </w:r>
      <w:r>
        <w:t xml:space="preserve">egress (§1) and fixtures (§4).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Fixed façade and glazing lines</w:t>
      </w:r>
      <w:r>
        <w:t xml:space="preserve"> </w:t>
      </w:r>
      <w:r>
        <w:t xml:space="preserve">— set the daylight/view resource the cognitive/well-being codes distribute</w:t>
      </w:r>
      <w:r>
        <w:t xml:space="preserve"> </w:t>
      </w:r>
      <w:r>
        <w:t xml:space="preserve">(C9/C10) and cannot be relocated in a fit-out.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Slab-to-slab height, structural depth, raised-floor/plenum</w:t>
      </w:r>
      <w:r>
        <w:t xml:space="preserve"> </w:t>
      </w:r>
      <w:r>
        <w:t xml:space="preserve">— set achievable ceiling height (§2) and</w:t>
      </w:r>
      <w:r>
        <w:t xml:space="preserve"> </w:t>
      </w:r>
      <w:r>
        <w:t xml:space="preserve">services routing.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Fire-separation and smoke-compartment lines, areas of refuge</w:t>
      </w:r>
      <w:r>
        <w:t xml:space="preserve"> </w:t>
      </w:r>
      <w:r>
        <w:t xml:space="preserve">— fixed protected zones.</w:t>
      </w:r>
    </w:p>
    <w:p>
      <w:pPr>
        <w:pStyle w:val="FirstParagraph"/>
      </w:pPr>
      <w:r>
        <w:rPr>
          <w:bCs/>
          <w:b/>
        </w:rPr>
        <w:t xml:space="preserve">Encoding:</w:t>
      </w:r>
      <w:r>
        <w:t xml:space="preserve"> </w:t>
      </w:r>
      <w:r>
        <w:t xml:space="preserve">the fixed shell is the</w:t>
      </w:r>
      <w:r>
        <w:t xml:space="preserve"> </w:t>
      </w:r>
      <w:r>
        <w:rPr>
          <w:bCs/>
          <w:b/>
        </w:rPr>
        <w:t xml:space="preserve">base obstacle map</w:t>
      </w:r>
      <w:r>
        <w:t xml:space="preserve"> </w:t>
      </w:r>
      <w:r>
        <w:t xml:space="preserve">of the</w:t>
      </w:r>
      <w:r>
        <w:t xml:space="preserve"> </w:t>
      </w:r>
      <w:r>
        <w:rPr>
          <w:rStyle w:val="VerbatimChar"/>
        </w:rPr>
        <w:t xml:space="preserve">PlanGrid</w:t>
      </w:r>
      <w:r>
        <w:t xml:space="preserve"> </w:t>
      </w:r>
      <w:r>
        <w:t xml:space="preserve">(OBST cells the layout is built</w:t>
      </w:r>
      <w:r>
        <w:t xml:space="preserve"> </w:t>
      </w:r>
      <w:r>
        <w:t xml:space="preserve">around), loaded before any candidate layout is generated.</w:t>
      </w:r>
      <w:r>
        <w:t xml:space="preserve"> </w:t>
      </w:r>
      <w:r>
        <w:rPr>
          <w:rStyle w:val="VerbatimChar"/>
        </w:rPr>
        <w:t xml:space="preserve">../cnfa_algs/plan.py</w:t>
      </w:r>
      <w:r>
        <w:t xml:space="preserve"> </w:t>
      </w:r>
      <w:r>
        <w:t xml:space="preserve">already represents a plan as</w:t>
      </w:r>
      <w:r>
        <w:t xml:space="preserve"> </w:t>
      </w:r>
      <w:r>
        <w:t xml:space="preserve">FREE/OBST cells; the shell is the immutable OBST layer, tenant partitions the mutable one.</w:t>
      </w:r>
    </w:p>
    <w:p>
      <w:r>
        <w:pict>
          <v:rect style="width:0;height:1.5pt" o:hralign="center" o:hrstd="t" o:hr="t"/>
        </w:pict>
      </w:r>
    </w:p>
    <w:bookmarkEnd w:id="26"/>
    <w:bookmarkStart w:id="27" w:name="how-the-optimizer-consumes-this-file"/>
    <w:p>
      <w:pPr>
        <w:pStyle w:val="Heading2"/>
      </w:pPr>
      <w:r>
        <w:t xml:space="preserve">7. How the optimizer consumes this file</w:t>
      </w:r>
    </w:p>
    <w:p>
      <w:pPr>
        <w:pStyle w:val="FirstParagraph"/>
      </w:pPr>
      <w:r>
        <w:t xml:space="preserve">In order, before any</w:t>
      </w:r>
      <w:r>
        <w:t xml:space="preserve"> </w:t>
      </w:r>
      <w:r>
        <w:rPr>
          <w:rStyle w:val="VerbatimChar"/>
        </w:rPr>
        <w:t xml:space="preserve">CRITERIA.md</w:t>
      </w:r>
      <w:r>
        <w:t xml:space="preserve"> </w:t>
      </w:r>
      <w:r>
        <w:t xml:space="preserve">scoring: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Load the fixed shell</w:t>
      </w:r>
      <w:r>
        <w:t xml:space="preserve"> </w:t>
      </w:r>
      <w:r>
        <w:t xml:space="preserve">(§6) as the base</w:t>
      </w:r>
      <w:r>
        <w:t xml:space="preserve"> </w:t>
      </w:r>
      <w:r>
        <w:rPr>
          <w:rStyle w:val="VerbatimChar"/>
        </w:rPr>
        <w:t xml:space="preserve">PlanGrid</w:t>
      </w:r>
      <w:r>
        <w:t xml:space="preserve"> </w:t>
      </w:r>
      <w:r>
        <w:t xml:space="preserve">obstacle map.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Stamp the required-clearance and protected-path masks</w:t>
      </w:r>
      <w:r>
        <w:t xml:space="preserve"> </w:t>
      </w:r>
      <w:r>
        <w:t xml:space="preserve">— egress corridors at capacity width (§1), accessible</w:t>
      </w:r>
      <w:r>
        <w:t xml:space="preserve"> </w:t>
      </w:r>
      <w:r>
        <w:t xml:space="preserve">routes/turning/clear-floor spaces (§3), minimum circulation widths (§2).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Reject any candidate</w:t>
      </w:r>
      <w:r>
        <w:t xml:space="preserve"> </w:t>
      </w:r>
      <w:r>
        <w:t xml:space="preserve">that occupies a masked cell, pinches a required route below its floor, exceeds</w:t>
      </w:r>
      <w:r>
        <w:t xml:space="preserve"> </w:t>
      </w:r>
      <w:r>
        <w:t xml:space="preserve">travel-distance/common-path/dead-end limits, seats more than the egress supports, or fails a floor-level</w:t>
      </w:r>
      <w:r>
        <w:t xml:space="preserve"> </w:t>
      </w:r>
      <w:r>
        <w:t xml:space="preserve">minimum (fixtures, outdoor air, mandated light) —</w:t>
      </w:r>
      <w:r>
        <w:t xml:space="preserve"> </w:t>
      </w:r>
      <w:r>
        <w:rPr>
          <w:bCs/>
          <w:b/>
        </w:rPr>
        <w:t xml:space="preserve">inadmissible, not scored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Only then</w:t>
      </w:r>
      <w:r>
        <w:t xml:space="preserve"> </w:t>
      </w:r>
      <w:r>
        <w:t xml:space="preserve">pass the admissible candidate to</w:t>
      </w:r>
      <w:r>
        <w:t xml:space="preserve"> </w:t>
      </w:r>
      <w:r>
        <w:rPr>
          <w:rStyle w:val="VerbatimChar"/>
        </w:rPr>
        <w:t xml:space="preserve">CRITERIA.md</w:t>
      </w:r>
      <w:r>
        <w:t xml:space="preserve"> </w:t>
      </w:r>
      <w:r>
        <w:t xml:space="preserve">for cognitive/well-being ranking.</w:t>
      </w:r>
    </w:p>
    <w:p>
      <w:pPr>
        <w:pStyle w:val="FirstParagraph"/>
      </w:pPr>
      <w:r>
        <w:t xml:space="preserve">This ordering guarantees the property the framing demands:</w:t>
      </w:r>
      <w:r>
        <w:t xml:space="preserve"> </w:t>
      </w:r>
      <w:r>
        <w:rPr>
          <w:bCs/>
          <w:b/>
        </w:rPr>
        <w:t xml:space="preserve">the cognitive and well-being codes only ever choose</w:t>
      </w:r>
      <w:r>
        <w:rPr>
          <w:bCs/>
          <w:b/>
        </w:rPr>
        <w:t xml:space="preserve"> </w:t>
      </w:r>
      <w:r>
        <w:rPr>
          <w:bCs/>
          <w:b/>
        </w:rPr>
        <w:t xml:space="preserve">among plans that are already legal and safe.</w:t>
      </w:r>
      <w:r>
        <w:t xml:space="preserve"> </w:t>
      </w:r>
      <w:r>
        <w:t xml:space="preserve">A brilliant cognitive-code layout that blocks an exit is not a</w:t>
      </w:r>
      <w:r>
        <w:t xml:space="preserve"> </w:t>
      </w:r>
      <w:r>
        <w:t xml:space="preserve">trade-off to weigh — it is disqualified.</w:t>
      </w:r>
    </w:p>
    <w:p>
      <w:r>
        <w:pict>
          <v:rect style="width:0;height:1.5pt" o:hralign="center" o:hrstd="t" o:hr="t"/>
        </w:pict>
      </w:r>
    </w:p>
    <w:bookmarkEnd w:id="27"/>
    <w:bookmarkStart w:id="28" w:name="verification-boundary-rule-0"/>
    <w:p>
      <w:pPr>
        <w:pStyle w:val="Heading2"/>
      </w:pPr>
      <w:r>
        <w:t xml:space="preserve">8. Verification boundary (RULE 0)</w:t>
      </w:r>
    </w:p>
    <w:p>
      <w:pPr>
        <w:pStyle w:val="FirstParagraph"/>
      </w:pPr>
      <w:r>
        <w:t xml:space="preserve">Every specific numeric value in this file (occupant-load factor ~150 gross ft², corridor 44 in, door 32 in clear,</w:t>
      </w:r>
      <w:r>
        <w:t xml:space="preserve"> </w:t>
      </w:r>
      <w:r>
        <w:t xml:space="preserve">turning circle 60 in, common-path/dead-end/travel-distance limits, ASHRAE outdoor-air rates) is a</w:t>
      </w:r>
      <w:r>
        <w:t xml:space="preserve"> </w:t>
      </w:r>
      <w:r>
        <w:rPr>
          <w:bCs/>
          <w:b/>
        </w:rPr>
        <w:t xml:space="preserve">typical</w:t>
      </w:r>
      <w:r>
        <w:rPr>
          <w:bCs/>
          <w:b/>
        </w:rPr>
        <w:t xml:space="preserve"> </w:t>
      </w:r>
      <w:r>
        <w:rPr>
          <w:bCs/>
          <w:b/>
        </w:rPr>
        <w:t xml:space="preserve">model-code value stated to fix the structure of the constraint</w:t>
      </w:r>
      <w:r>
        <w:t xml:space="preserve">, and each is explicitly flagged for confirmation</w:t>
      </w:r>
      <w:r>
        <w:t xml:space="preserve"> </w:t>
      </w:r>
      <w:r>
        <w:t xml:space="preserve">against the project’s governing code, edition, occupancy classification, sprinkler status, and AHJ. Model codes</w:t>
      </w:r>
      <w:r>
        <w:t xml:space="preserve"> </w:t>
      </w:r>
      <w:r>
        <w:t xml:space="preserve">referenced are the IBC, ADA Standards / ANSI A117.1, ASHRAE 62.1 and 55, IPC/UPC, and — for California — Title 24</w:t>
      </w:r>
      <w:r>
        <w:t xml:space="preserve"> </w:t>
      </w:r>
      <w:r>
        <w:t xml:space="preserve">including CBC Chapter 11B (generally more stringent than federal ADA).</w:t>
      </w:r>
      <w:r>
        <w:t xml:space="preserve"> </w:t>
      </w:r>
      <w:r>
        <w:rPr>
          <w:bCs/>
          <w:b/>
        </w:rPr>
        <w:t xml:space="preserve">This file has not been checked against</w:t>
      </w:r>
      <w:r>
        <w:rPr>
          <w:bCs/>
          <w:b/>
        </w:rPr>
        <w:t xml:space="preserve"> </w:t>
      </w:r>
      <w:r>
        <w:rPr>
          <w:bCs/>
          <w:b/>
        </w:rPr>
        <w:t xml:space="preserve">any specific jurisdiction’s adopted code for any specific project, and it is not a substitute for a licensed code</w:t>
      </w:r>
      <w:r>
        <w:rPr>
          <w:bCs/>
          <w:b/>
        </w:rPr>
        <w:t xml:space="preserve"> </w:t>
      </w:r>
      <w:r>
        <w:rPr>
          <w:bCs/>
          <w:b/>
        </w:rPr>
        <w:t xml:space="preserve">review.</w:t>
      </w:r>
      <w:r>
        <w:t xml:space="preserve"> </w:t>
      </w:r>
      <w:r>
        <w:t xml:space="preserve">Its correctness claim is limited to: the</w:t>
      </w:r>
      <w:r>
        <w:t xml:space="preserve"> </w:t>
      </w:r>
      <w:r>
        <w:rPr>
          <w:iCs/>
          <w:i/>
        </w:rPr>
        <w:t xml:space="preserve">categories</w:t>
      </w:r>
      <w:r>
        <w:t xml:space="preserve"> </w:t>
      </w:r>
      <w:r>
        <w:t xml:space="preserve">of physical-code constraint that bind an interior</w:t>
      </w:r>
      <w:r>
        <w:t xml:space="preserve"> </w:t>
      </w:r>
      <w:r>
        <w:t xml:space="preserve">layout, their</w:t>
      </w:r>
      <w:r>
        <w:t xml:space="preserve"> </w:t>
      </w:r>
      <w:r>
        <w:rPr>
          <w:iCs/>
          <w:i/>
        </w:rPr>
        <w:t xml:space="preserve">role as a hard gate</w:t>
      </w:r>
      <w:r>
        <w:t xml:space="preserve"> </w:t>
      </w:r>
      <w:r>
        <w:t xml:space="preserve">ahead of cognitive/well-being scoring, and their</w:t>
      </w:r>
      <w:r>
        <w:t xml:space="preserve"> </w:t>
      </w:r>
      <w:r>
        <w:rPr>
          <w:iCs/>
          <w:i/>
        </w:rPr>
        <w:t xml:space="preserve">encoding</w:t>
      </w:r>
      <w:r>
        <w:t xml:space="preserve"> </w:t>
      </w:r>
      <w:r>
        <w:t xml:space="preserve">onto the</w:t>
      </w:r>
      <w:r>
        <w:t xml:space="preserve"> </w:t>
      </w:r>
      <w:r>
        <w:rPr>
          <w:rStyle w:val="VerbatimChar"/>
        </w:rPr>
        <w:t xml:space="preserve">PlanGrid</w:t>
      </w:r>
      <w:r>
        <w:t xml:space="preserve">. The exact governing numbers are the code consultant’s determination, not this document’s.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2026-07-15T06:25:13Z</dcterms:created>
  <dcterms:modified xsi:type="dcterms:W3CDTF">2026-07-15T06:25:13Z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