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ffice-space-planning-state-of-knowledge"/>
    <w:p>
      <w:pPr>
        <w:pStyle w:val="Heading1"/>
      </w:pPr>
      <w:r>
        <w:t xml:space="preserve">Office Space Planning — State of Knowledge</w:t>
      </w:r>
    </w:p>
    <w:p>
      <w:pPr>
        <w:pStyle w:val="FirstParagraph"/>
      </w:pPr>
      <w:r>
        <w:rPr>
          <w:iCs/>
          <w:i/>
        </w:rPr>
        <w:t xml:space="preserve">Space-planning workstream,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space_planning/</w:t>
      </w:r>
      <w:r>
        <w:rPr>
          <w:iCs/>
          <w:i/>
        </w:rPr>
        <w:t xml:space="preserve">. Compiled 2026-07-14 (Fable/Claude Opus, from five parallel literature searches). This is the knowledge foundation §3.6 of the Reading Space direction document calls for — the reading that must precede any optimizer. Its job is to say what actually matters in laying out a floor plate, how strong the evidence is, and which findings can be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computed on a plan</w:t>
      </w:r>
      <w:r>
        <w:rPr>
          <w:iCs/>
          <w:i/>
        </w:rPr>
        <w:t xml:space="preserve">. It becomes the basis for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CRITERIA.md</w:t>
      </w:r>
      <w:r>
        <w:rPr>
          <w:iCs/>
          <w:i/>
        </w:rPr>
        <w:t xml:space="preserve"> </w:t>
      </w:r>
      <w:r>
        <w:rPr>
          <w:iCs/>
          <w:i/>
        </w:rPr>
        <w:t xml:space="preserve">(the scoring rubric)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BASELINE_REQUIREMENTS.md</w:t>
      </w:r>
      <w:r>
        <w:rPr>
          <w:iCs/>
          <w:i/>
        </w:rPr>
        <w:t xml:space="preserve"> </w:t>
      </w:r>
      <w:r>
        <w:rPr>
          <w:iCs/>
          <w:i/>
        </w:rPr>
        <w:t xml:space="preserve">(the physical-code floor). Framed against the cognitive code: the physical code sets the admissible; these findings rank within it.</w:t>
      </w:r>
    </w:p>
    <w:p>
      <w:pPr>
        <w:pStyle w:val="BodyText"/>
      </w:pPr>
      <w:r>
        <w:rPr>
          <w:bCs/>
          <w:b/>
        </w:rPr>
        <w:t xml:space="preserve">How to read the evidence tags.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= well-replicated, safe to build on.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= real but with debated effect size or boundary conditions.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= plausible, thinly evidenced; use as a candidate, validate before trusting. Every principle carries one, and a verification boundary is stated at the end — several famous numbers are flagged because their own authors warn against over-reading them.</w:t>
      </w:r>
    </w:p>
    <w:p>
      <w:pPr>
        <w:pStyle w:val="BodyText"/>
      </w:pPr>
      <w:r>
        <w:rPr>
          <w:bCs/>
          <w:b/>
        </w:rPr>
        <w:t xml:space="preserve">The one-sentence summary.</w:t>
      </w:r>
      <w:r>
        <w:t xml:space="preserve"> </w:t>
      </w:r>
      <w:r>
        <w:t xml:space="preserve">Configuration reliably predicts</w:t>
      </w:r>
      <w:r>
        <w:t xml:space="preserve"> </w:t>
      </w:r>
      <w:r>
        <w:rPr>
          <w:iCs/>
          <w:i/>
        </w:rPr>
        <w:t xml:space="preserve">where people move and co-locate</w:t>
      </w:r>
      <w:r>
        <w:t xml:space="preserve">; it only weakly predicts</w:t>
      </w:r>
      <w:r>
        <w:t xml:space="preserve"> </w:t>
      </w:r>
      <w:r>
        <w:rPr>
          <w:iCs/>
          <w:i/>
        </w:rPr>
        <w:t xml:space="preserve">whether they interact</w:t>
      </w:r>
      <w:r>
        <w:t xml:space="preserve">, and barely predicts</w:t>
      </w:r>
      <w:r>
        <w:t xml:space="preserve"> </w:t>
      </w:r>
      <w:r>
        <w:rPr>
          <w:iCs/>
          <w:i/>
        </w:rPr>
        <w:t xml:space="preserve">whether they collaborate</w:t>
      </w:r>
      <w:r>
        <w:t xml:space="preserve"> </w:t>
      </w:r>
      <w:r>
        <w:t xml:space="preserve">— so a layout scorer should be confident about movement, co-presence, sightlines, daylight, and acoustics, and explicitly humble (probabilistic, organizationally caveated) about interaction and collaboration.</w:t>
      </w:r>
    </w:p>
    <w:p>
      <w:r>
        <w:pict>
          <v:rect style="width:0;height:1.5pt" o:hralign="center" o:hrstd="t" o:hr="t"/>
        </w:pict>
      </w:r>
    </w:p>
    <w:bookmarkStart w:id="27" w:name="principles"/>
    <w:p>
      <w:pPr>
        <w:pStyle w:val="Heading2"/>
      </w:pPr>
      <w:r>
        <w:t xml:space="preserve">1. Principles</w:t>
      </w:r>
    </w:p>
    <w:p>
      <w:pPr>
        <w:pStyle w:val="FirstParagraph"/>
      </w:pPr>
      <w:r>
        <w:t xml:space="preserve">Grouped by domain. Each: a one-line statement, the mechanism, key citation(s), and an evidence tag.</w:t>
      </w:r>
    </w:p>
    <w:bookmarkStart w:id="20" w:name="X367e832f96f3b7b13601d07fc272c7ad8ef6c82"/>
    <w:p>
      <w:pPr>
        <w:pStyle w:val="Heading3"/>
      </w:pPr>
      <w:r>
        <w:t xml:space="preserve">A. Configuration, movement, and encounter (space syntax)</w:t>
      </w:r>
    </w:p>
    <w:p>
      <w:pPr>
        <w:pStyle w:val="FirstParagraph"/>
      </w:pPr>
      <w:r>
        <w:rPr>
          <w:bCs/>
          <w:b/>
        </w:rPr>
        <w:t xml:space="preserve">A1. Natural movement — configuration generates movement.</w:t>
      </w:r>
      <w:r>
        <w:t xml:space="preserve"> </w:t>
      </w:r>
      <w:r>
        <w:t xml:space="preserve">The spatial integration of a space within the whole layout is the primary generator of pedestrian movement; attractors (cafés, printers) amplify but do not cause the base pattern.</w:t>
      </w:r>
      <w:r>
        <w:t xml:space="preserve"> </w:t>
      </w:r>
      <w:r>
        <w:rPr>
          <w:iCs/>
          <w:i/>
        </w:rPr>
        <w:t xml:space="preserve">Hillier et al. 1993.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(as a law);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(exact magnitude, which is context-dependent).</w:t>
      </w:r>
    </w:p>
    <w:p>
      <w:pPr>
        <w:pStyle w:val="BodyText"/>
      </w:pPr>
      <w:r>
        <w:rPr>
          <w:bCs/>
          <w:b/>
        </w:rPr>
        <w:t xml:space="preserve">A2. Two metric families for two behaviours.</w:t>
      </w:r>
      <w:r>
        <w:t xml:space="preserve"> </w:t>
      </w:r>
      <w:r>
        <w:t xml:space="preserve">In the largest workplace dataset (41 offices, 159 floors; Sailer/Koutsolampros),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visibility/isovist metrics — connectivity, through-vision, isovist area, visual mean depth — predict</w:t>
      </w:r>
      <w:r>
        <w:t xml:space="preserve"> </w:t>
      </w:r>
      <w:r>
        <w:rPr>
          <w:bCs/>
          <w:b/>
        </w:rPr>
        <w:t xml:space="preserve">movement</w:t>
      </w:r>
      <w:r>
        <w:t xml:space="preserve"> </w:t>
      </w:r>
      <w:r>
        <w:t xml:space="preserve">(visual mean depth alone R²≈0.28 per floor; near-monotonic when binned), while</w:t>
      </w:r>
      <w:r>
        <w:t xml:space="preserve"> </w:t>
      </w:r>
      <w:r>
        <w:rPr>
          <w:iCs/>
          <w:i/>
        </w:rPr>
        <w:t xml:space="preserve">global</w:t>
      </w:r>
      <w:r>
        <w:t xml:space="preserve"> </w:t>
      </w:r>
      <w:r>
        <w:rPr>
          <w:bCs/>
          <w:b/>
        </w:rPr>
        <w:t xml:space="preserve">visual integration</w:t>
      </w:r>
      <w:r>
        <w:t xml:space="preserve"> </w:t>
      </w:r>
      <w:r>
        <w:t xml:space="preserve">and visual entropy predict</w:t>
      </w:r>
      <w:r>
        <w:t xml:space="preserve"> </w:t>
      </w:r>
      <w:r>
        <w:rPr>
          <w:bCs/>
          <w:b/>
        </w:rPr>
        <w:t xml:space="preserve">co-presence/encounter</w:t>
      </w:r>
      <w:r>
        <w:t xml:space="preserve">. They are empirically distinct jobs.</w:t>
      </w:r>
      <w:r>
        <w:t xml:space="preserve"> </w:t>
      </w:r>
      <w:r>
        <w:rPr>
          <w:iCs/>
          <w:i/>
        </w:rPr>
        <w:t xml:space="preserve">Koutsolampros &amp; Sailer 2019; Turner et al. 2001.</w:t>
      </w:r>
      <w:r>
        <w:t xml:space="preserve"> </w:t>
      </w:r>
      <w:r>
        <w:rPr>
          <w:bCs/>
          <w:b/>
        </w:rPr>
        <w:t xml:space="preserve">STRONG.</w:t>
      </w:r>
    </w:p>
    <w:p>
      <w:pPr>
        <w:pStyle w:val="BodyText"/>
      </w:pPr>
      <w:r>
        <w:rPr>
          <w:bCs/>
          <w:b/>
        </w:rPr>
        <w:t xml:space="preserve">A3. Movement is confidently predictable; interaction is not.</w:t>
      </w:r>
      <w:r>
        <w:t xml:space="preserve"> </w:t>
      </w:r>
      <w:r>
        <w:t xml:space="preserve">Configuration predicts where people are, but realized interaction varies by site and is mediated by organizational and cultural factors; the spatial→interaction link is weak (R²≈0.10 per floor).</w:t>
      </w:r>
      <w:r>
        <w:t xml:space="preserve"> </w:t>
      </w:r>
      <w:r>
        <w:rPr>
          <w:iCs/>
          <w:i/>
        </w:rPr>
        <w:t xml:space="preserve">Rashid, Kampschroer, Wineman &amp; Zimring 2006; Sailer &amp; McCulloh 2012.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(that the link is weak/mediated).</w:t>
      </w:r>
    </w:p>
    <w:p>
      <w:pPr>
        <w:pStyle w:val="BodyText"/>
      </w:pPr>
      <w:r>
        <w:rPr>
          <w:bCs/>
          <w:b/>
        </w:rPr>
        <w:t xml:space="preserve">A4. Intelligibility = learnability of the plan.</w:t>
      </w:r>
      <w:r>
        <w:t xml:space="preserve"> </w:t>
      </w:r>
      <w:r>
        <w:t xml:space="preserve">The correlation (R²) between a local measure (connectivity) and global integration across all spaces indexes how well what you see locally predicts the whole — high R² = legible, navigable; low R² = disorienting (worked example: Rotterdam whole-city R²=0.14 vs centre 0.44).</w:t>
      </w:r>
      <w:r>
        <w:t xml:space="preserve"> </w:t>
      </w:r>
      <w:r>
        <w:rPr>
          <w:iCs/>
          <w:i/>
        </w:rPr>
        <w:t xml:space="preserve">Hillier &amp; Hanson 1984.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as a metric;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as a validated predictor of real wayfinding error indoors.</w:t>
      </w:r>
    </w:p>
    <w:p>
      <w:pPr>
        <w:pStyle w:val="BodyText"/>
      </w:pPr>
      <w:r>
        <w:rPr>
          <w:bCs/>
          <w:b/>
        </w:rPr>
        <w:t xml:space="preserve">A5. Functional (path) proximity beats Euclidean distance for collaboration.</w:t>
      </w:r>
      <w:r>
        <w:t xml:space="preserve"> </w:t>
      </w:r>
      <w:r>
        <w:t xml:space="preserve">Shared daily paths — the overlap of the routes two people walk to common destinations — predict scientific collaboration; +100 ft of path overlap → +15–29% collaboration, while straight-line distance loses significance once path overlap is controlled.</w:t>
      </w:r>
      <w:r>
        <w:t xml:space="preserve"> </w:t>
      </w:r>
      <w:r>
        <w:rPr>
          <w:iCs/>
          <w:i/>
        </w:rPr>
        <w:t xml:space="preserve">Kabo et al. 2014/2015; Wineman et al. 2014.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(quantified, controlled).</w:t>
      </w:r>
    </w:p>
    <w:bookmarkEnd w:id="20"/>
    <w:bookmarkStart w:id="21" w:name="b.-proximity-and-communication"/>
    <w:p>
      <w:pPr>
        <w:pStyle w:val="Heading3"/>
      </w:pPr>
      <w:r>
        <w:t xml:space="preserve">B. Proximity and communication</w:t>
      </w:r>
    </w:p>
    <w:p>
      <w:pPr>
        <w:pStyle w:val="FirstParagraph"/>
      </w:pPr>
      <w:r>
        <w:rPr>
          <w:bCs/>
          <w:b/>
        </w:rPr>
        <w:t xml:space="preserve">B1. The Allen curve — communication decays steeply with distance.</w:t>
      </w:r>
      <w:r>
        <w:t xml:space="preserve"> </w:t>
      </w:r>
      <w:r>
        <w:t xml:space="preserve">Probability of regular communication falls off exponentially, to a near-floor by ~25–50 m; and distance depresses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media, not just face-to-face (seeing someone in person predicts also phoning/emailing them).</w:t>
      </w:r>
      <w:r>
        <w:t xml:space="preserve"> </w:t>
      </w:r>
      <w:r>
        <w:rPr>
          <w:iCs/>
          <w:i/>
        </w:rPr>
        <w:t xml:space="preserve">Allen 1977; Allen &amp; Henn 2007.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(classic); the exact decay function is dated to 1970s labs and its persistence in the hybrid era is</w:t>
      </w:r>
      <w:r>
        <w:t xml:space="preserve"> </w:t>
      </w:r>
      <w:r>
        <w:rPr>
          <w:bCs/>
          <w:b/>
        </w:rPr>
        <w:t xml:space="preserve">CONTESTED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B2. Communication is intensely local; the floor is a hard barrier.</w:t>
      </w:r>
      <w:r>
        <w:t xml:space="preserve"> </w:t>
      </w:r>
      <w:r>
        <w:t xml:space="preserve">52% of conversations occur within the same corridor, 87% within the same floor; 83% of collaborations were between same-floor colleagues though those were only 26% of possible pairs; spontaneous talk is even more proximity-bound (91% same-floor) than scheduled.</w:t>
      </w:r>
      <w:r>
        <w:t xml:space="preserve"> </w:t>
      </w:r>
      <w:r>
        <w:rPr>
          <w:iCs/>
          <w:i/>
        </w:rPr>
        <w:t xml:space="preserve">Kraut, Fish, Root &amp; Chalfonte; Kraut &amp; Cummings 2002.</w:t>
      </w:r>
      <w:r>
        <w:t xml:space="preserve"> </w:t>
      </w:r>
      <w:r>
        <w:rPr>
          <w:bCs/>
          <w:b/>
        </w:rPr>
        <w:t xml:space="preserve">STRONG.</w:t>
      </w:r>
    </w:p>
    <w:p>
      <w:pPr>
        <w:pStyle w:val="BodyText"/>
      </w:pPr>
      <w:r>
        <w:rPr>
          <w:bCs/>
          <w:b/>
        </w:rPr>
        <w:t xml:space="preserve">B3. Functional distance predicts ties.</w:t>
      </w:r>
      <w:r>
        <w:t xml:space="preserve"> </w:t>
      </w:r>
      <w:r>
        <w:t xml:space="preserve">Whose paths cross — set by doors, stairs, mailboxes, orientation — predicts friendship/tie formation better than metric distance; units off the shared path had less than half the within-group friendships.</w:t>
      </w:r>
      <w:r>
        <w:t xml:space="preserve"> </w:t>
      </w:r>
      <w:r>
        <w:rPr>
          <w:iCs/>
          <w:i/>
        </w:rPr>
        <w:t xml:space="preserve">Festinger, Schachter &amp; Back 1950.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(mechanism; specific percentages are canonical but flagged unverified-at-source).</w:t>
      </w:r>
    </w:p>
    <w:bookmarkEnd w:id="21"/>
    <w:bookmarkStart w:id="22" w:name="Xd797cf55e3657da8697a6370c6c738c36c616a6"/>
    <w:p>
      <w:pPr>
        <w:pStyle w:val="Heading3"/>
      </w:pPr>
      <w:r>
        <w:t xml:space="preserve">C. Open plan, enclosure, and activity-based working</w:t>
      </w:r>
    </w:p>
    <w:p>
      <w:pPr>
        <w:pStyle w:val="FirstParagraph"/>
      </w:pPr>
      <w:r>
        <w:rPr>
          <w:bCs/>
          <w:b/>
        </w:rPr>
        <w:t xml:space="preserve">C1. Removing walls REDUCES face-to-face interaction.</w:t>
      </w:r>
      <w:r>
        <w:t xml:space="preserve"> </w:t>
      </w:r>
      <w:r>
        <w:t xml:space="preserve">Objective before/after badge measurement across two Fortune-500 HQs: open-plan conversion cut face-to-face interaction ~70% and raised electronic communication (IM +67%/+75%). Loss of privacy drives withdrawal to digital channels.</w:t>
      </w:r>
      <w:r>
        <w:t xml:space="preserve"> </w:t>
      </w:r>
      <w:r>
        <w:rPr>
          <w:iCs/>
          <w:i/>
        </w:rPr>
        <w:t xml:space="preserve">Bernstein &amp; Turban 2018.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(rare objective measurement; two firms, quasi-experimental).</w:t>
      </w:r>
      <w:r>
        <w:t xml:space="preserve"> </w:t>
      </w:r>
      <w:r>
        <w:rPr>
          <w:bCs/>
          <w:b/>
        </w:rPr>
        <w:t xml:space="preserve">This reverses the central justification for open plan.</w:t>
      </w:r>
    </w:p>
    <w:p>
      <w:pPr>
        <w:pStyle w:val="BodyText"/>
      </w:pPr>
      <w:r>
        <w:rPr>
          <w:bCs/>
          <w:b/>
        </w:rPr>
        <w:t xml:space="preserve">C2. The privacy–communication trade-off is net-negative in open plan.</w:t>
      </w:r>
      <w:r>
        <w:t xml:space="preserve"> </w:t>
      </w:r>
      <w:r>
        <w:t xml:space="preserve">Across 42,764 respondents / 303 buildings, the interaction benefit of open plan (+0.21 satisfaction) was outweighed by noise (−0.41), sound privacy (−0.20), and visual privacy (−0.46) penalties — net −0.86; enclosed private offices ranked highest on overall satisfaction.</w:t>
      </w:r>
      <w:r>
        <w:t xml:space="preserve"> </w:t>
      </w:r>
      <w:r>
        <w:rPr>
          <w:iCs/>
          <w:i/>
        </w:rPr>
        <w:t xml:space="preserve">Kim &amp; de Dear 2013.</w:t>
      </w:r>
      <w:r>
        <w:t xml:space="preserve"> </w:t>
      </w:r>
      <w:r>
        <w:rPr>
          <w:bCs/>
          <w:b/>
        </w:rPr>
        <w:t xml:space="preserve">STRONG.</w:t>
      </w:r>
    </w:p>
    <w:p>
      <w:pPr>
        <w:pStyle w:val="BodyText"/>
      </w:pPr>
      <w:r>
        <w:rPr>
          <w:bCs/>
          <w:b/>
        </w:rPr>
        <w:t xml:space="preserve">C3. Intelligible speech, not loudness, corrupts focus.</w:t>
      </w:r>
      <w:r>
        <w:t xml:space="preserve"> </w:t>
      </w:r>
      <w:r>
        <w:t xml:space="preserve">The irrelevant-speech effect degrades serial recall/working memory in proportion to speech</w:t>
      </w:r>
      <w:r>
        <w:t xml:space="preserve"> </w:t>
      </w:r>
      <w:r>
        <w:rPr>
          <w:iCs/>
          <w:i/>
        </w:rPr>
        <w:t xml:space="preserve">intelligibility</w:t>
      </w:r>
      <w:r>
        <w:t xml:space="preserve">; people do not fully habituate.</w:t>
      </w:r>
      <w:r>
        <w:t xml:space="preserve"> </w:t>
      </w:r>
      <w:r>
        <w:rPr>
          <w:iCs/>
          <w:i/>
        </w:rPr>
        <w:t xml:space="preserve">Banbury &amp; Berry 1998; Hongisto 2005.</w:t>
      </w:r>
      <w:r>
        <w:t xml:space="preserve"> </w:t>
      </w:r>
      <w:r>
        <w:rPr>
          <w:bCs/>
          <w:b/>
        </w:rPr>
        <w:t xml:space="preserve">STRONG.</w:t>
      </w:r>
    </w:p>
    <w:p>
      <w:pPr>
        <w:pStyle w:val="BodyText"/>
      </w:pPr>
      <w:r>
        <w:rPr>
          <w:bCs/>
          <w:b/>
        </w:rPr>
        <w:t xml:space="preserve">C4. Open-plan carries health/absence signals.</w:t>
      </w:r>
      <w:r>
        <w:t xml:space="preserve"> </w:t>
      </w:r>
      <w:r>
        <w:t xml:space="preserve">Short-spell sick leave is elevated in open-plan vs cellular offices (odds ratios ~1.2–1.9, worse for women).</w:t>
      </w:r>
      <w:r>
        <w:t xml:space="preserve"> </w:t>
      </w:r>
      <w:r>
        <w:rPr>
          <w:iCs/>
          <w:i/>
        </w:rPr>
        <w:t xml:space="preserve">Bodin Danielsson et al. 2014.</w:t>
      </w:r>
      <w:r>
        <w:t xml:space="preserve"> </w:t>
      </w:r>
      <w:r>
        <w:rPr>
          <w:bCs/>
          <w:b/>
        </w:rPr>
        <w:t xml:space="preserve">PROMISING/CONTESTED</w:t>
      </w:r>
      <w:r>
        <w:t xml:space="preserve"> </w:t>
      </w:r>
      <w:r>
        <w:t xml:space="preserve">(observational; job-type self-selection confounds).</w:t>
      </w:r>
    </w:p>
    <w:p>
      <w:pPr>
        <w:pStyle w:val="BodyText"/>
      </w:pPr>
      <w:r>
        <w:rPr>
          <w:bCs/>
          <w:b/>
        </w:rPr>
        <w:t xml:space="preserve">C5. Activity-based working helps satisfaction, not focus or team cohesion.</w:t>
      </w:r>
      <w:r>
        <w:t xml:space="preserve"> </w:t>
      </w:r>
      <w:r>
        <w:t xml:space="preserve">ABW zoning raised workspace satisfaction (d≈0.84), commensality, and movement, but produced a small productivity decline (d≈−0.28) and reduced own-team cohesion; outcomes depend heavily on whether focus zones are actually protected.</w:t>
      </w:r>
      <w:r>
        <w:t xml:space="preserve"> </w:t>
      </w:r>
      <w:r>
        <w:rPr>
          <w:iCs/>
          <w:i/>
        </w:rPr>
        <w:t xml:space="preserve">Engelen et al. 2018; Bäcklander &amp; Richter 2022.</w:t>
      </w:r>
      <w:r>
        <w:t xml:space="preserve"> </w:t>
      </w:r>
      <w:r>
        <w:rPr>
          <w:bCs/>
          <w:b/>
        </w:rPr>
        <w:t xml:space="preserve">CONTESTED/PROMISING.</w:t>
      </w:r>
    </w:p>
    <w:p>
      <w:pPr>
        <w:pStyle w:val="BodyText"/>
      </w:pPr>
      <w:r>
        <w:rPr>
          <w:bCs/>
          <w:b/>
        </w:rPr>
        <w:t xml:space="preserve">C6.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Collision</w:t>
      </w:r>
      <w:r>
        <w:rPr>
          <w:bCs/>
          <w:b/>
        </w:rPr>
        <w:t xml:space="preserve">”</w:t>
      </w:r>
      <w:r>
        <w:rPr>
          <w:bCs/>
          <w:b/>
        </w:rPr>
        <w:t xml:space="preserve">/serendipity design backfires without motivation.</w:t>
      </w:r>
      <w:r>
        <w:t xml:space="preserve"> </w:t>
      </w:r>
      <w:r>
        <w:t xml:space="preserve">Proximity raises encounter</w:t>
      </w:r>
      <w:r>
        <w:t xml:space="preserve"> </w:t>
      </w:r>
      <w:r>
        <w:rPr>
          <w:iCs/>
          <w:i/>
        </w:rPr>
        <w:t xml:space="preserve">probability</w:t>
      </w:r>
      <w:r>
        <w:t xml:space="preserve">, but forced co-location without task interdependence or incentive produces active avoidance, not innovation; only individuals already disposed to collaborate formed new ties.</w:t>
      </w:r>
      <w:r>
        <w:t xml:space="preserve"> </w:t>
      </w:r>
      <w:r>
        <w:rPr>
          <w:iCs/>
          <w:i/>
        </w:rPr>
        <w:t xml:space="preserve">Irving, Ayoko &amp; Ashkanasy 2020.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for the pro-collision belief; the avoidance finding is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(rich single case).</w:t>
      </w:r>
    </w:p>
    <w:bookmarkEnd w:id="22"/>
    <w:bookmarkStart w:id="23" w:name="d.-acoustics-as-a-planning-constraint"/>
    <w:p>
      <w:pPr>
        <w:pStyle w:val="Heading3"/>
      </w:pPr>
      <w:r>
        <w:t xml:space="preserve">D. Acoustics as a planning constraint</w:t>
      </w:r>
    </w:p>
    <w:p>
      <w:pPr>
        <w:pStyle w:val="FirstParagraph"/>
      </w:pPr>
      <w:r>
        <w:rPr>
          <w:bCs/>
          <w:b/>
        </w:rPr>
        <w:t xml:space="preserve">D1. Performance loss is a sigmoid in speech intelligibility.</w:t>
      </w:r>
      <w:r>
        <w:t xml:space="preserve"> </w:t>
      </w:r>
      <w:r>
        <w:t xml:space="preserve">Decrease in performance rises steeply across STI≈0.25–0.70 and plateaus at a maximum of ~7% for STI≳0.70; the disruptor is intelligibility, so masking (raising the noise floor to lower STI) works where quieting does not.</w:t>
      </w:r>
      <w:r>
        <w:t xml:space="preserve"> </w:t>
      </w:r>
      <w:r>
        <w:rPr>
          <w:iCs/>
          <w:i/>
        </w:rPr>
        <w:t xml:space="preserve">Hongisto 2005.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(shape);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(exact 7% magnitude, task/age dependent).</w:t>
      </w:r>
    </w:p>
    <w:p>
      <w:pPr>
        <w:pStyle w:val="BodyText"/>
      </w:pPr>
      <w:r>
        <w:rPr>
          <w:bCs/>
          <w:b/>
        </w:rPr>
        <w:t xml:space="preserve">D2. ISO 3382-3 gives codified open-plan targets.</w:t>
      </w:r>
      <w:r>
        <w:t xml:space="preserve"> </w:t>
      </w:r>
      <w:r>
        <w:t xml:space="preserve">Distraction distance r_D (where STI&lt;0.50) ≤ 5 m is good / &gt;10 m poor; spatial decay of speech D2,S ≥ 7 dB good; A-weighted speech level at 4 m ≤ 48 dB good; privacy distance where STI&lt;0.20.</w:t>
      </w:r>
      <w:r>
        <w:t xml:space="preserve"> </w:t>
      </w:r>
      <w:r>
        <w:rPr>
          <w:iCs/>
          <w:i/>
        </w:rPr>
        <w:t xml:space="preserve">ISO 3382-3:2012/2022.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(standard). r_D is a</w:t>
      </w:r>
      <w:r>
        <w:t xml:space="preserve"> </w:t>
      </w:r>
      <w:r>
        <w:rPr>
          <w:bCs/>
          <w:b/>
        </w:rPr>
        <w:t xml:space="preserve">contour on the plan</w:t>
      </w:r>
      <w:r>
        <w:t xml:space="preserve"> </w:t>
      </w:r>
      <w:r>
        <w:t xml:space="preserve">— the single most planning-friendly acoustic number.</w:t>
      </w:r>
    </w:p>
    <w:p>
      <w:pPr>
        <w:pStyle w:val="BodyText"/>
      </w:pPr>
      <w:r>
        <w:rPr>
          <w:bCs/>
          <w:b/>
        </w:rPr>
        <w:t xml:space="preserve">D3. Zone by acoustic district.</w:t>
      </w:r>
      <w:r>
        <w:t xml:space="preserve"> </w:t>
      </w:r>
      <w:r>
        <w:t xml:space="preserve">A collaboration zone is a speech source with its own r_D contour; that contour must not intrude on a focus-zone seat. Quiet districts target STI&lt;0.50 (→0.20 for confidentiality); masking pulls the contour inward without moving walls.</w:t>
      </w:r>
      <w:r>
        <w:t xml:space="preserve"> </w:t>
      </w:r>
      <w:r>
        <w:rPr>
          <w:iCs/>
          <w:i/>
        </w:rPr>
        <w:t xml:space="preserve">ISO 3382-3; Hongisto 2005.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(principle);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(optimal thresholds).</w:t>
      </w:r>
    </w:p>
    <w:bookmarkEnd w:id="23"/>
    <w:bookmarkStart w:id="24" w:name="X477fb5e30ee6b36445faf47b175ba6ee45b0bfa"/>
    <w:p>
      <w:pPr>
        <w:pStyle w:val="Heading3"/>
      </w:pPr>
      <w:r>
        <w:t xml:space="preserve">E. Daylight, view, and biophilia as distributable resources</w:t>
      </w:r>
    </w:p>
    <w:p>
      <w:pPr>
        <w:pStyle w:val="FirstParagraph"/>
      </w:pPr>
      <w:r>
        <w:rPr>
          <w:bCs/>
          <w:b/>
        </w:rPr>
        <w:t xml:space="preserve">E1. Nature-content views aid recovery and cognition.</w:t>
      </w:r>
      <w:r>
        <w:t xml:space="preserve"> </w:t>
      </w:r>
      <w:r>
        <w:t xml:space="preserve">A nature view vs a blank wall shortened hospital stays (7.96 vs 8.70 days) and reduced analgesia (Ulrich); daylight+view improved working memory and inhibition and cut eyestrain in offices (Jamrozik); and view content matters more than raw daylux for cognition (Heschong/LBL: best view +10–16% acuity/memory, daylight-alone ~0.4%).</w:t>
      </w:r>
      <w:r>
        <w:t xml:space="preserve"> </w:t>
      </w:r>
      <w:r>
        <w:rPr>
          <w:iCs/>
          <w:i/>
        </w:rPr>
        <w:t xml:space="preserve">Ulrich 1984; Jamrozik et al. 2019; Heschong/LBL.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(view content drives it) /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(office effect sizes; small N).</w:t>
      </w:r>
    </w:p>
    <w:p>
      <w:pPr>
        <w:pStyle w:val="BodyText"/>
      </w:pPr>
      <w:r>
        <w:rPr>
          <w:bCs/>
          <w:b/>
        </w:rPr>
        <w:t xml:space="preserve">E2. View and perimeter daylight are scarce, spatially-fixed resources to allocate equitably.</w:t>
      </w:r>
      <w:r>
        <w:t xml:space="preserve"> </w:t>
      </w:r>
      <w:r>
        <w:t xml:space="preserve">Perimeter seats capture them; core seats do not; left to seniority they become a status good rather than an allocated health resource. LEED codifies the equity target: ≥75% of occupied area with a line of sight to qualifying glazing (VLT&gt;40%, within 3× head-height).</w:t>
      </w:r>
      <w:r>
        <w:t xml:space="preserve"> </w:t>
      </w:r>
      <w:r>
        <w:rPr>
          <w:iCs/>
          <w:i/>
        </w:rPr>
        <w:t xml:space="preserve">LEED v4.1 EQc8; WELL v2.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(codified framing).</w:t>
      </w:r>
    </w:p>
    <w:p>
      <w:pPr>
        <w:pStyle w:val="BodyText"/>
      </w:pPr>
      <w:r>
        <w:rPr>
          <w:bCs/>
          <w:b/>
        </w:rPr>
        <w:t xml:space="preserve">E3. Daytime circadian (melanopic) light is daylight’s best-evidenced benefit.</w:t>
      </w:r>
      <w:r>
        <w:t xml:space="preserve"> </w:t>
      </w:r>
      <w:r>
        <w:t xml:space="preserve">Expert consensus: ≥250 melanopic-EDI lux at the eye (vertical, ~1.2 m) during the day; the metric is inherently per-desk and time-varying, and perimeter daylight is the distributed resource that lets core desks fall short.</w:t>
      </w:r>
      <w:r>
        <w:t xml:space="preserve"> </w:t>
      </w:r>
      <w:r>
        <w:rPr>
          <w:iCs/>
          <w:i/>
        </w:rPr>
        <w:t xml:space="preserve">Brown et al. 2022; CIE S 026.</w:t>
      </w:r>
      <w:r>
        <w:t xml:space="preserve"> </w:t>
      </w:r>
      <w:r>
        <w:rPr>
          <w:bCs/>
          <w:b/>
        </w:rPr>
        <w:t xml:space="preserve">STRONG.</w:t>
      </w:r>
    </w:p>
    <w:p>
      <w:pPr>
        <w:pStyle w:val="BodyText"/>
      </w:pPr>
      <w:r>
        <w:rPr>
          <w:bCs/>
          <w:b/>
        </w:rPr>
        <w:t xml:space="preserve">E4. Biophilic design is a useful vocabulary, not a source of hard thresholds.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14 Patterns</w:t>
      </w:r>
      <w:r>
        <w:t xml:space="preserve">”</w:t>
      </w:r>
      <w:r>
        <w:t xml:space="preserve"> </w:t>
      </w:r>
      <w:r>
        <w:t xml:space="preserve">bundle real mechanisms, but office-specific evidence for many individual patterns is thin; the strong components reduce to view content (E1), circadian light (E3), and prospect/refuge (F1).</w:t>
      </w:r>
      <w:r>
        <w:t xml:space="preserve"> </w:t>
      </w:r>
      <w:r>
        <w:rPr>
          <w:iCs/>
          <w:i/>
        </w:rPr>
        <w:t xml:space="preserve">Browning et al. 2014.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— do not claim broad</w:t>
      </w:r>
      <w:r>
        <w:t xml:space="preserve"> </w:t>
      </w:r>
      <w:r>
        <w:t xml:space="preserve">“</w:t>
      </w:r>
      <w:r>
        <w:t xml:space="preserve">biophilia</w:t>
      </w:r>
      <w:r>
        <w:t xml:space="preserve">”</w:t>
      </w:r>
      <w:r>
        <w:t xml:space="preserve"> </w:t>
      </w:r>
      <w:r>
        <w:t xml:space="preserve">productivity ROI.</w:t>
      </w:r>
    </w:p>
    <w:bookmarkEnd w:id="24"/>
    <w:bookmarkStart w:id="25" w:name="X3f75277f634cad009f6e2132073bad62166835b"/>
    <w:p>
      <w:pPr>
        <w:pStyle w:val="Heading3"/>
      </w:pPr>
      <w:r>
        <w:t xml:space="preserve">F. Environmental psychology of the workstation</w:t>
      </w:r>
    </w:p>
    <w:p>
      <w:pPr>
        <w:pStyle w:val="FirstParagraph"/>
      </w:pPr>
      <w:r>
        <w:rPr>
          <w:bCs/>
          <w:b/>
        </w:rPr>
        <w:t xml:space="preserve">F1. Prospect is strongly preferred; refuge is weak indoors.</w:t>
      </w:r>
      <w:r>
        <w:t xml:space="preserve"> </w:t>
      </w:r>
      <w:r>
        <w:t xml:space="preserve">People prefer seats with open outlook; the meta-analysis supports prospect in 53% of tests but refuge in only 22% (41% neutral, 41% contrary), and interiors often prefer open rooms to enclosed ones. The preferred seat = outlook in front + protected back, with prospect carrying most of the effect.</w:t>
      </w:r>
      <w:r>
        <w:t xml:space="preserve"> </w:t>
      </w:r>
      <w:r>
        <w:rPr>
          <w:iCs/>
          <w:i/>
        </w:rPr>
        <w:t xml:space="preserve">Dosen &amp; Ostwald 2016; Appleton 1975.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(prospect) /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(refuge, weak indoors).</w:t>
      </w:r>
    </w:p>
    <w:p>
      <w:pPr>
        <w:pStyle w:val="BodyText"/>
      </w:pPr>
      <w:r>
        <w:rPr>
          <w:bCs/>
          <w:b/>
        </w:rPr>
        <w:t xml:space="preserve">F2. Crowding ≠ density; control moderates.</w:t>
      </w:r>
      <w:r>
        <w:t xml:space="preserve"> </w:t>
      </w:r>
      <w:r>
        <w:t xml:space="preserve">Stress arises from density</w:t>
      </w:r>
      <w:r>
        <w:t xml:space="preserve"> </w:t>
      </w:r>
      <w:r>
        <w:rPr>
          <w:iCs/>
          <w:i/>
        </w:rPr>
        <w:t xml:space="preserve">appraised as</w:t>
      </w:r>
      <w:r>
        <w:t xml:space="preserve"> </w:t>
      </w:r>
      <w:r>
        <w:t xml:space="preserve">crowding and from loss of control over social contact, not from density per se; layouts that let occupants regulate contact blunt the effect at constant density.</w:t>
      </w:r>
      <w:r>
        <w:t xml:space="preserve"> </w:t>
      </w:r>
      <w:r>
        <w:rPr>
          <w:iCs/>
          <w:i/>
        </w:rPr>
        <w:t xml:space="preserve">Stokols 1972/1976; Evans.</w:t>
      </w:r>
      <w:r>
        <w:t xml:space="preserve"> </w:t>
      </w:r>
      <w:r>
        <w:rPr>
          <w:bCs/>
          <w:b/>
        </w:rPr>
        <w:t xml:space="preserve">STRONG.</w:t>
      </w:r>
    </w:p>
    <w:p>
      <w:pPr>
        <w:pStyle w:val="BodyText"/>
      </w:pPr>
      <w:r>
        <w:rPr>
          <w:bCs/>
          <w:b/>
        </w:rPr>
        <w:t xml:space="preserve">F3. Territory/personalization supports identity and belonging.</w:t>
      </w:r>
      <w:r>
        <w:t xml:space="preserve"> </w:t>
      </w:r>
      <w:r>
        <w:t xml:space="preserve">Assigned, markable space is a channel for self-categorization; hot-desking imposes identity threat and workers improvise ownership (same desk daily). Dissatisfaction tracks lost belonging/control, not decoration.</w:t>
      </w:r>
      <w:r>
        <w:t xml:space="preserve"> </w:t>
      </w:r>
      <w:r>
        <w:rPr>
          <w:iCs/>
          <w:i/>
        </w:rPr>
        <w:t xml:space="preserve">Elsbach 2003; Brunia &amp; Hartjes-Gosselink 2009.</w:t>
      </w:r>
      <w:r>
        <w:t xml:space="preserve"> </w:t>
      </w:r>
      <w:r>
        <w:rPr>
          <w:bCs/>
          <w:b/>
        </w:rPr>
        <w:t xml:space="preserve">PROMISING/CONTESTED</w:t>
      </w:r>
      <w:r>
        <w:t xml:space="preserve"> </w:t>
      </w:r>
      <w:r>
        <w:t xml:space="preserve">(largely qualitative).</w:t>
      </w:r>
    </w:p>
    <w:p>
      <w:pPr>
        <w:pStyle w:val="BodyText"/>
      </w:pPr>
      <w:r>
        <w:rPr>
          <w:bCs/>
          <w:b/>
        </w:rPr>
        <w:t xml:space="preserve">F4. Active-design layouts induce incidental movement.</w:t>
      </w:r>
      <w:r>
        <w:t xml:space="preserve"> </w:t>
      </w:r>
      <w:r>
        <w:t xml:space="preserve">Prominent, visible stairs near entrances (ahead of elevators) plus point-of-decision prompts reliably raise stair use; amenities sited to require short walks raise daily movement.</w:t>
      </w:r>
      <w:r>
        <w:t xml:space="preserve"> </w:t>
      </w:r>
      <w:r>
        <w:rPr>
          <w:iCs/>
          <w:i/>
        </w:rPr>
        <w:t xml:space="preserve">NYC Active Design Guidelines.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(stair prominence) /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(whole-layout walkability → wellbeing).</w:t>
      </w:r>
    </w:p>
    <w:p>
      <w:pPr>
        <w:pStyle w:val="BodyText"/>
      </w:pPr>
      <w:r>
        <w:rPr>
          <w:bCs/>
          <w:b/>
        </w:rPr>
        <w:t xml:space="preserve">F5. Plan legibility predicts ease of circulation.</w:t>
      </w:r>
      <w:r>
        <w:t xml:space="preserve"> </w:t>
      </w:r>
      <w:r>
        <w:t xml:space="preserve">Wayfinding success rises with visual access, architectural differentiation, signage, and simpler floor-plan configuration; navigation load concentrates at decision points, and visible landmarks/goals at junctions reduce error.</w:t>
      </w:r>
      <w:r>
        <w:t xml:space="preserve"> </w:t>
      </w:r>
      <w:r>
        <w:rPr>
          <w:iCs/>
          <w:i/>
        </w:rPr>
        <w:t xml:space="preserve">Weisman 1981; Passini &amp; Arthur.</w:t>
      </w:r>
      <w:r>
        <w:t xml:space="preserve"> </w:t>
      </w:r>
      <w:r>
        <w:rPr>
          <w:bCs/>
          <w:b/>
        </w:rPr>
        <w:t xml:space="preserve">STRONG.</w:t>
      </w:r>
    </w:p>
    <w:bookmarkEnd w:id="25"/>
    <w:bookmarkStart w:id="26" w:name="Xe0f15f31ab0db2f0018942d78c03cc9a17fa30d"/>
    <w:p>
      <w:pPr>
        <w:pStyle w:val="Heading3"/>
      </w:pPr>
      <w:r>
        <w:t xml:space="preserve">G. Heterogeneity, fit, and what actually predicts outcomes</w:t>
      </w:r>
    </w:p>
    <w:p>
      <w:pPr>
        <w:pStyle w:val="FirstParagraph"/>
      </w:pPr>
      <w:r>
        <w:rPr>
          <w:bCs/>
          <w:b/>
        </w:rPr>
        <w:t xml:space="preserve">G1. Occupants are heterogeneous; one plan cannot fit all.</w:t>
      </w:r>
      <w:r>
        <w:t xml:space="preserve"> </w:t>
      </w:r>
      <w:r>
        <w:t xml:space="preserve">Activity complexity ranges widely (≈23% of workers ≤5 important activities, ≈17% with 16+), and distinct segments — focus/anchor, hub/connector, mobile/nomad — have conflicting spatial needs; a uniform open plan optimizes for none.</w:t>
      </w:r>
      <w:r>
        <w:t xml:space="preserve"> </w:t>
      </w:r>
      <w:r>
        <w:rPr>
          <w:iCs/>
          <w:i/>
        </w:rPr>
        <w:t xml:space="preserve">Leesman; office-worker segmentation studies.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(large but proprietary/self-report).</w:t>
      </w:r>
    </w:p>
    <w:p>
      <w:pPr>
        <w:pStyle w:val="BodyText"/>
      </w:pPr>
      <w:r>
        <w:rPr>
          <w:bCs/>
          <w:b/>
        </w:rPr>
        <w:t xml:space="preserve">G2. Fit is task-conditional, not an absolute property of a building.</w:t>
      </w:r>
      <w:r>
        <w:t xml:space="preserve"> </w:t>
      </w:r>
      <w:r>
        <w:t xml:space="preserve">Vischer’s model nests physical, functional (task-support), and psychological comfort; workspace stress is the energy diverted from the task to cope. A space excellent for one task/person can be hostile for another — so the evaluator should emit a per-task-per-type fit matrix, never a single</w:t>
      </w:r>
      <w:r>
        <w:t xml:space="preserve"> </w:t>
      </w:r>
      <w:r>
        <w:t xml:space="preserve">“</w:t>
      </w:r>
      <w:r>
        <w:t xml:space="preserve">good building</w:t>
      </w:r>
      <w:r>
        <w:t xml:space="preserve">”</w:t>
      </w:r>
      <w:r>
        <w:t xml:space="preserve"> </w:t>
      </w:r>
      <w:r>
        <w:t xml:space="preserve">scalar.</w:t>
      </w:r>
      <w:r>
        <w:t xml:space="preserve"> </w:t>
      </w:r>
      <w:r>
        <w:rPr>
          <w:iCs/>
          <w:i/>
        </w:rPr>
        <w:t xml:space="preserve">Vischer 2005/2007.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(framework).</w:t>
      </w:r>
    </w:p>
    <w:p>
      <w:pPr>
        <w:pStyle w:val="BodyText"/>
      </w:pPr>
      <w:r>
        <w:rPr>
          <w:bCs/>
          <w:b/>
        </w:rPr>
        <w:t xml:space="preserve">G3. Focus and collaboration have opposite environmental requirements.</w:t>
      </w:r>
      <w:r>
        <w:t xml:space="preserve"> </w:t>
      </w:r>
      <w:r>
        <w:t xml:space="preserve">Quiet/enclosed/low-interruption vs proximate/visible/interruptible pull in opposite directions; the same open floor serves one and defeats the other — the core reason uniform open plan and poorly-zoned ABW underperform.</w:t>
      </w:r>
      <w:r>
        <w:t xml:space="preserve"> </w:t>
      </w:r>
      <w:r>
        <w:rPr>
          <w:iCs/>
          <w:i/>
        </w:rPr>
        <w:t xml:space="preserve">Engelen et al. 2022; Bäcklander &amp; Richter 2022.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(direction).</w:t>
      </w:r>
    </w:p>
    <w:p>
      <w:pPr>
        <w:pStyle w:val="BodyText"/>
      </w:pPr>
      <w:r>
        <w:rPr>
          <w:bCs/>
          <w:b/>
        </w:rPr>
        <w:t xml:space="preserve">G4. Acoustics/speech-privacy and thermal are the top empirical dissatisfiers.</w:t>
      </w:r>
      <w:r>
        <w:t xml:space="preserve"> </w:t>
      </w:r>
      <w:r>
        <w:t xml:space="preserve">Across ~600 buildings / 20 years, the largest dissatisfaction sources are sound/speech privacy (~54%), temperature (~39%), and noise (~34%); acoustic quality has the largest negative impact on self-reported productivity; overall building satisfaction tracks personal-workspace satisfaction.</w:t>
      </w:r>
      <w:r>
        <w:t xml:space="preserve"> </w:t>
      </w:r>
      <w:r>
        <w:rPr>
          <w:iCs/>
          <w:i/>
        </w:rPr>
        <w:t xml:space="preserve">Graham, Parkinson &amp; Schiavon 2021 (CBE).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— weight these first.</w:t>
      </w:r>
    </w:p>
    <w:p>
      <w:pPr>
        <w:pStyle w:val="BodyText"/>
      </w:pPr>
      <w:r>
        <w:rPr>
          <w:bCs/>
          <w:b/>
        </w:rPr>
        <w:t xml:space="preserve">G5. Personal control helps, but conditionally.</w:t>
      </w:r>
      <w:r>
        <w:t xml:space="preserve"> </w:t>
      </w:r>
      <w:r>
        <w:t xml:space="preserve">Control widens comfort tolerance and (per Leaman &amp; Bordass) is a</w:t>
      </w:r>
      <w:r>
        <w:t xml:space="preserve"> </w:t>
      </w:r>
      <w:r>
        <w:t xml:space="preserve">“</w:t>
      </w:r>
      <w:r>
        <w:t xml:space="preserve">killer variable,</w:t>
      </w:r>
      <w:r>
        <w:t xml:space="preserve">”</w:t>
      </w:r>
      <w:r>
        <w:t xml:space="preserve"> </w:t>
      </w:r>
      <w:r>
        <w:t xml:space="preserve">but the effect is self-reported and ordinal, and later field work shows control only counts when it targets the binding local stressor — in dense open plan that is usually noise/privacy, not the thermostat.</w:t>
      </w:r>
      <w:r>
        <w:t xml:space="preserve"> </w:t>
      </w:r>
      <w:r>
        <w:rPr>
          <w:iCs/>
          <w:i/>
        </w:rPr>
        <w:t xml:space="preserve">Leaman &amp; Bordass 1999/2016; Veitch/Newsham COPE 2007–08.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(control-as-king) /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(the conditionality qualifier).</w:t>
      </w:r>
    </w:p>
    <w:p>
      <w:pPr>
        <w:pStyle w:val="BodyText"/>
      </w:pPr>
      <w:r>
        <w:rPr>
          <w:bCs/>
          <w:b/>
        </w:rPr>
        <w:t xml:space="preserve">G6. IEQ health/cognition economics are real but widely over-quoted.</w:t>
      </w:r>
      <w:r>
        <w:t xml:space="preserve"> </w:t>
      </w:r>
      <w:r>
        <w:t xml:space="preserve">The famous figures — Fisk’s $20–50B/yr national gains, Allen’s +101% cognition on</w:t>
      </w:r>
      <w:r>
        <w:t xml:space="preserve"> </w:t>
      </w:r>
      <w:r>
        <w:t xml:space="preserve">“</w:t>
      </w:r>
      <w:r>
        <w:t xml:space="preserve">Green+</w:t>
      </w:r>
      <w:r>
        <w:t xml:space="preserve">”</w:t>
      </w:r>
      <w:r>
        <w:t xml:space="preserve"> </w:t>
      </w:r>
      <w:r>
        <w:t xml:space="preserve">days — are respectively an explicitly uncertain scoping estimate and an n=24 single-day chamber result with artificially set CO₂; the real-building follow-up found ~26%. Treat ventilation/CO₂/low-VOC as scored specs with ranges, not headline returns.</w:t>
      </w:r>
      <w:r>
        <w:t xml:space="preserve"> </w:t>
      </w:r>
      <w:r>
        <w:rPr>
          <w:iCs/>
          <w:i/>
        </w:rPr>
        <w:t xml:space="preserve">Fisk 2000; Allen et al. 2016.</w:t>
      </w:r>
      <w:r>
        <w:t xml:space="preserve"> </w:t>
      </w:r>
      <w:r>
        <w:rPr>
          <w:bCs/>
          <w:b/>
        </w:rPr>
        <w:t xml:space="preserve">CONTESTED/inflated.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3caaee039e58127d6e53a430655262ada42090"/>
    <w:p>
      <w:pPr>
        <w:pStyle w:val="Heading2"/>
      </w:pPr>
      <w:r>
        <w:t xml:space="preserve">2. Criteria — how to judge one layout better than another</w:t>
      </w:r>
    </w:p>
    <w:p>
      <w:pPr>
        <w:pStyle w:val="FirstParagraph"/>
      </w:pPr>
      <w:r>
        <w:t xml:space="preserve">A candidate scoring rubric a system can compute over a floor plan. Direction of preference, rough thresholds where the literature gives them, the metric, and the tier of confidence. These become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Computable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Encounter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in commons, structured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Mean/distribution of</w:t>
            </w:r>
            <w:r>
              <w:t xml:space="preserve"> </w:t>
            </w:r>
            <w:r>
              <w:rPr>
                <w:bCs/>
                <w:b/>
              </w:rPr>
              <w:t xml:space="preserve">VGA global visual integration</w:t>
            </w:r>
            <w:r>
              <w:t xml:space="preserve">; site social magnets at integration peaks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Movement/footfall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to high-value collisions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mean depth, connectivity, through-vision</w:t>
            </w:r>
            <w:r>
              <w:t xml:space="preserve"> </w:t>
            </w:r>
            <w:r>
              <w:t xml:space="preserve">per cell → footfall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intelligibility (legibility)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is better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R² of connectivity vs global integration</w:t>
            </w:r>
            <w:r>
              <w:t xml:space="preserve"> </w:t>
            </w:r>
            <w:r>
              <w:t xml:space="preserve">across cells (single scalar)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Wayfinding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decision points; goals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Decision-point count on primary routes; % junctions with visible landmark/goal; route directness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Collaborator 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must-collaborate pairs same-floor, ≤ ~30–50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collaborator pairs same floor &amp; corridor; median pairwise walking distance; # cross-floor splits (heavily penalized)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Path-overlap / collision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among interdependent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route length between desk pairs to common destinations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Speech-privacy in focus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 ≤ 0.50 (→0.20 confidential)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 STI;</w:t>
            </w:r>
            <w:r>
              <w:t xml:space="preserve"> </w:t>
            </w:r>
            <w:r>
              <w:rPr>
                <w:bCs/>
                <w:b/>
              </w:rPr>
              <w:t xml:space="preserve">no collaboration r_D contour crosses a focus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Distraction distance (open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r_D ≤ 5 m; D2,S ≥ 7 dB; L_p,A,S,4m ≤ 48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3382-3 metrics on the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 of seats with qualifying nature-content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seats with line of sight to glazing (VLT&gt;40%, within 3× head-height); view-content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(codified)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Circadian light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desks ≥ 250 melanopic-EDI for ≥ X daytime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Per-desk melanopic-EDI across the day; distance-to-window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Prospect–refuge seat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prospect-led; back-to-wall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seats with large forward isovist/window view AND protected back within ~1.5 m (weight prospect &gt; refuge)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(prospect)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Perceived-crowding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density × visible co-workers in isovist ÷ retreat-spaces per N occupants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Setting variety / segment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min-fit across occupant types, not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distinct setting types; enclosed:open ratio vs task mix; coverage of high-complexity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Focus:collaboration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quiet-setting ratio; zones not co-scored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penalty where a zone scores high on both demands; enclosed focus seats per M open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(direction)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Active-design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stairs prominent; amenities a short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stair within entrance isovist &amp; nearer than elevator; mean seat-to-amenity distance (non-minimized)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(stairs)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Territory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task/culture require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assigned vs hot-desk; desk-sharing ratio; % seats with personalization surface; home-base per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Functioning local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only vs the binding stressor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operable controls that target the dominant local stressor (acoustic/visual privacy weighted highest in dense zones)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CONTESTED→conditional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Air-quality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 well under ~800–1000 ppm; adequate outdoor air; low-VOC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CO₂ at design occupancy; L/s/person; material VOC class (as a</w:t>
            </w:r>
            <w:r>
              <w:t xml:space="preserve"> </w:t>
            </w:r>
            <w:r>
              <w:rPr>
                <w:iCs/>
                <w:i/>
              </w:rPr>
              <w:t xml:space="preserve">range</w:t>
            </w:r>
            <w:r>
              <w:t xml:space="preserve">, not a cognition 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Weighting guidance from the evidence.</w:t>
      </w:r>
      <w:r>
        <w:t xml:space="preserve"> </w:t>
      </w:r>
      <w:r>
        <w:t xml:space="preserve">The strongest single empirical predictors of occupant outcomes are</w:t>
      </w:r>
      <w:r>
        <w:t xml:space="preserve"> </w:t>
      </w:r>
      <w:r>
        <w:rPr>
          <w:bCs/>
          <w:b/>
        </w:rPr>
        <w:t xml:space="preserve">acoustic/speech privacy and thermal zoning</w:t>
      </w:r>
      <w:r>
        <w:t xml:space="preserve"> </w:t>
      </w:r>
      <w:r>
        <w:t xml:space="preserve">(G4), so C7/C8 and thermal should dominate the objective;</w:t>
      </w:r>
      <w:r>
        <w:t xml:space="preserve"> </w:t>
      </w:r>
      <w:r>
        <w:rPr>
          <w:bCs/>
          <w:b/>
        </w:rPr>
        <w:t xml:space="preserve">movement/encounter and legibility</w:t>
      </w:r>
      <w:r>
        <w:t xml:space="preserve"> </w:t>
      </w:r>
      <w:r>
        <w:t xml:space="preserve">(C1–C4) are the most confidently computable;</w:t>
      </w:r>
      <w:r>
        <w:t xml:space="preserve"> </w:t>
      </w:r>
      <w:r>
        <w:rPr>
          <w:bCs/>
          <w:b/>
        </w:rPr>
        <w:t xml:space="preserve">view/daylight equity</w:t>
      </w:r>
      <w:r>
        <w:t xml:space="preserve"> </w:t>
      </w:r>
      <w:r>
        <w:t xml:space="preserve">(C9–C10) are codified and equitable-by-design;</w:t>
      </w:r>
      <w:r>
        <w:t xml:space="preserve"> </w:t>
      </w:r>
      <w:r>
        <w:rPr>
          <w:bCs/>
          <w:b/>
        </w:rPr>
        <w:t xml:space="preserve">collaboration criteria</w:t>
      </w:r>
      <w:r>
        <w:t xml:space="preserve"> </w:t>
      </w:r>
      <w:r>
        <w:t xml:space="preserve">(C5–C6) are real but should be reported as</w:t>
      </w:r>
      <w:r>
        <w:t xml:space="preserve"> </w:t>
      </w:r>
      <w:r>
        <w:rPr>
          <w:iCs/>
          <w:i/>
        </w:rPr>
        <w:t xml:space="preserve">opportunity</w:t>
      </w:r>
      <w:r>
        <w:t xml:space="preserve"> </w:t>
      </w:r>
      <w:r>
        <w:t xml:space="preserve">estimates, organizationally caveated; and</w:t>
      </w:r>
      <w:r>
        <w:t xml:space="preserve"> </w:t>
      </w:r>
      <w:r>
        <w:rPr>
          <w:bCs/>
          <w:b/>
        </w:rPr>
        <w:t xml:space="preserve">setting-variety/segment fit</w:t>
      </w:r>
      <w:r>
        <w:t xml:space="preserve"> </w:t>
      </w:r>
      <w:r>
        <w:t xml:space="preserve">(C13) should be scored as</w:t>
      </w:r>
      <w:r>
        <w:t xml:space="preserve"> </w:t>
      </w:r>
      <w:r>
        <w:rPr>
          <w:iCs/>
          <w:i/>
        </w:rPr>
        <w:t xml:space="preserve">minimum fit across occupant types</w:t>
      </w:r>
      <w:r>
        <w:t xml:space="preserve">, explicitly penalizing monoculture plans.</w:t>
      </w:r>
    </w:p>
    <w:p>
      <w:r>
        <w:pict>
          <v:rect style="width:0;height:1.5pt" o:hralign="center" o:hrstd="t" o:hr="t"/>
        </w:pict>
      </w:r>
    </w:p>
    <w:bookmarkEnd w:id="28"/>
    <w:bookmarkStart w:id="29" w:name="tensions-and-contingencies"/>
    <w:p>
      <w:pPr>
        <w:pStyle w:val="Heading2"/>
      </w:pPr>
      <w:r>
        <w:t xml:space="preserve">3. Tensions and contingencies</w:t>
      </w:r>
    </w:p>
    <w:p>
      <w:pPr>
        <w:pStyle w:val="FirstParagraph"/>
      </w:pPr>
      <w:r>
        <w:t xml:space="preserve">The criteria conflict, and the conflicts are the substance of the problem — an optimizer that ignores them will produce a plan that is good on average and hostile to everyone in particular.</w:t>
      </w:r>
    </w:p>
    <w:p>
      <w:pPr>
        <w:pStyle w:val="BodyText"/>
      </w:pPr>
      <w:r>
        <w:rPr>
          <w:bCs/>
          <w:b/>
        </w:rPr>
        <w:t xml:space="preserve">Openness vs enclosure (the master tension).</w:t>
      </w:r>
      <w:r>
        <w:t xml:space="preserve"> </w:t>
      </w:r>
      <w:r>
        <w:t xml:space="preserve">Encounter, movement, integration, and collaboration (C1–C6) pull toward openness and proximity; speech privacy, focus, crowding-control, and refuge (C7, C11, C12, C14) pull toward enclosure and separation. The evidence does not favour one pole — it favours</w:t>
      </w:r>
      <w:r>
        <w:t xml:space="preserve"> </w:t>
      </w:r>
      <w:r>
        <w:rPr>
          <w:iCs/>
          <w:i/>
        </w:rPr>
        <w:t xml:space="preserve">zoning</w:t>
      </w:r>
      <w:r>
        <w:t xml:space="preserve">: distinct districts each optimized for one mode, with acoustic buffers (r_D contours) keeping them apart, rather than a uniform compromise that satisfies neither (C1 reverses under C7 when a collaboration contour reaches a focus seat). This is why the single most robust finding — open-plan cut face-to-face interaction ~70% (C1/C1-reverse) — is best read not as</w:t>
      </w:r>
      <w:r>
        <w:t xml:space="preserve"> </w:t>
      </w:r>
      <w:r>
        <w:t xml:space="preserve">“</w:t>
      </w:r>
      <w:r>
        <w:t xml:space="preserve">enclosure is better</w:t>
      </w:r>
      <w:r>
        <w:t xml:space="preserve">”</w:t>
      </w:r>
      <w:r>
        <w:t xml:space="preserve"> </w:t>
      </w:r>
      <w:r>
        <w:t xml:space="preserve">but as</w:t>
      </w:r>
      <w:r>
        <w:t xml:space="preserve"> </w:t>
      </w:r>
      <w:r>
        <w:t xml:space="preserve">“</w:t>
      </w:r>
      <w:r>
        <w:t xml:space="preserve">unzoned uniformity is worse than either pole.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Collision vs avoidance.</w:t>
      </w:r>
      <w:r>
        <w:t xml:space="preserve"> </w:t>
      </w:r>
      <w:r>
        <w:t xml:space="preserve">Proximity raises encounter probability (B1, A5), but forced proximity without task interdependence produces avoidance, not serendipity (C6). Contingency: co-locate only pairs/teams with a shared deliverable; the metric must gate collision potential by interdependence, or it optimizes for the wrong thing.</w:t>
      </w:r>
    </w:p>
    <w:p>
      <w:pPr>
        <w:pStyle w:val="BodyText"/>
      </w:pPr>
      <w:r>
        <w:rPr>
          <w:bCs/>
          <w:b/>
        </w:rPr>
        <w:t xml:space="preserve">The window as status vs health resource.</w:t>
      </w:r>
      <w:r>
        <w:t xml:space="preserve"> </w:t>
      </w:r>
      <w:r>
        <w:t xml:space="preserve">View/daylight (C9–C10) are scarce and spatially fixed; maximizing quality for a favoured few (seniority at the perimeter) conflicts with the equity target of a floor for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seats. The evidence and the codes both favour distribution — maximize the fraction of seats meeting a floor, not the peak.</w:t>
      </w:r>
    </w:p>
    <w:p>
      <w:pPr>
        <w:pStyle w:val="BodyText"/>
      </w:pPr>
      <w:r>
        <w:rPr>
          <w:bCs/>
          <w:b/>
        </w:rPr>
        <w:t xml:space="preserve">Control is conditional (C17).</w:t>
      </w:r>
      <w:r>
        <w:t xml:space="preserve"> </w:t>
      </w:r>
      <w:r>
        <w:t xml:space="preserve">A flat</w:t>
      </w:r>
      <w:r>
        <w:t xml:space="preserve"> </w:t>
      </w:r>
      <w:r>
        <w:t xml:space="preserve">“</w:t>
      </w:r>
      <w:r>
        <w:t xml:space="preserve">personal control</w:t>
      </w:r>
      <w:r>
        <w:t xml:space="preserve">”</w:t>
      </w:r>
      <w:r>
        <w:t xml:space="preserve"> </w:t>
      </w:r>
      <w:r>
        <w:t xml:space="preserve">bonus is not supported; control only helps where it addresses the binding local stressor. In dense open plan that is acoustics/privacy, not temperature — so the same control feature is worth different amounts in different zones.</w:t>
      </w:r>
    </w:p>
    <w:p>
      <w:pPr>
        <w:pStyle w:val="BodyText"/>
      </w:pPr>
      <w:r>
        <w:rPr>
          <w:bCs/>
          <w:b/>
        </w:rPr>
        <w:t xml:space="preserve">Task-type and individual differences (the deepest contingency).</w:t>
      </w:r>
      <w:r>
        <w:t xml:space="preserve"> </w:t>
      </w:r>
      <w:r>
        <w:t xml:space="preserve">Every criterion’s weight depends on the occupant’s task and type (G1–G3): deep-focus and collaborative work have opposite requirements, and worker segments (sanctuary/hub/nomad) conflict. The correct objective is therefore not a single ideal but a</w:t>
      </w:r>
      <w:r>
        <w:t xml:space="preserve"> </w:t>
      </w:r>
      <w:r>
        <w:rPr>
          <w:iCs/>
          <w:i/>
        </w:rPr>
        <w:t xml:space="preserve">fit matrix</w:t>
      </w:r>
      <w:r>
        <w:t xml:space="preserve"> </w:t>
      </w:r>
      <w:r>
        <w:t xml:space="preserve">— per-task, per-type — with the layout required to clear a minimum for each segment rather than maximize the average. A plan that is excellent on average can fail the focus-dependent quartile entirely.</w:t>
      </w:r>
    </w:p>
    <w:p>
      <w:pPr>
        <w:pStyle w:val="BodyText"/>
      </w:pPr>
      <w:r>
        <w:rPr>
          <w:bCs/>
          <w:b/>
        </w:rPr>
        <w:t xml:space="preserve">Movement is a benefit and a cost.</w:t>
      </w:r>
      <w:r>
        <w:t xml:space="preserve"> </w:t>
      </w:r>
      <w:r>
        <w:t xml:space="preserve">Active design deliberately</w:t>
      </w:r>
      <w:r>
        <w:t xml:space="preserve"> </w:t>
      </w:r>
      <w:r>
        <w:rPr>
          <w:iCs/>
          <w:i/>
        </w:rPr>
        <w:t xml:space="preserve">lengthens</w:t>
      </w:r>
      <w:r>
        <w:t xml:space="preserve"> </w:t>
      </w:r>
      <w:r>
        <w:t xml:space="preserve">some paths to induce walking (C15), while collaboration criteria</w:t>
      </w:r>
      <w:r>
        <w:t xml:space="preserve"> </w:t>
      </w:r>
      <w:r>
        <w:rPr>
          <w:iCs/>
          <w:i/>
        </w:rPr>
        <w:t xml:space="preserve">shorten</w:t>
      </w:r>
      <w:r>
        <w:t xml:space="preserve"> </w:t>
      </w:r>
      <w:r>
        <w:t xml:space="preserve">paths to induce encounter (C5–C6); these are reconciled by direction — short paths among interdependent collaborators, longer/more-visible paths to shared amenities and stairs for everyone.</w:t>
      </w:r>
    </w:p>
    <w:p>
      <w:r>
        <w:pict>
          <v:rect style="width:0;height:1.5pt" o:hralign="center" o:hrstd="t" o:hr="t"/>
        </w:pict>
      </w:r>
    </w:p>
    <w:bookmarkEnd w:id="29"/>
    <w:bookmarkStart w:id="30" w:name="open-questions-what-is-not-settled"/>
    <w:p>
      <w:pPr>
        <w:pStyle w:val="Heading2"/>
      </w:pPr>
      <w:r>
        <w:t xml:space="preserve">4. Open questions / what is not settled</w:t>
      </w:r>
    </w:p>
    <w:p>
      <w:pPr>
        <w:pStyle w:val="FirstParagraph"/>
      </w:pPr>
      <w:r>
        <w:t xml:space="preserve">Several things the optimizer will need are genuinely unresolved, and should be carried as explicit uncertainty, not papered over.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magnitude</w:t>
      </w:r>
      <w:r>
        <w:t xml:space="preserve"> </w:t>
      </w:r>
      <w:r>
        <w:t xml:space="preserve">of configuration→movement effects is context-dependent (office single-metric R²≈0.28 per floor, near-1.0 only when binned), and urban normalization formulas underperform on floor plates — so movement predictions are directional, not precise. Whether the</w:t>
      </w:r>
      <w:r>
        <w:t xml:space="preserve"> </w:t>
      </w:r>
      <w:r>
        <w:rPr>
          <w:bCs/>
          <w:b/>
        </w:rPr>
        <w:t xml:space="preserve">Allen decay</w:t>
      </w:r>
      <w:r>
        <w:t xml:space="preserve"> </w:t>
      </w:r>
      <w:r>
        <w:t xml:space="preserve">still holds in hybrid/remote-saturated work is actively debated; the ~50 m figure may be softening. The</w:t>
      </w:r>
      <w:r>
        <w:t xml:space="preserve"> </w:t>
      </w:r>
      <w:r>
        <w:rPr>
          <w:bCs/>
          <w:b/>
        </w:rPr>
        <w:t xml:space="preserve">causal</w:t>
      </w:r>
      <w:r>
        <w:t xml:space="preserve"> </w:t>
      </w:r>
      <w:r>
        <w:t xml:space="preserve">step from co-presence to interaction to collaboration is weak and organizationally mediated — spatial variables set opportunity, not outcome, and no model reliably predicts realized collaboration from geometry alone.</w:t>
      </w:r>
      <w:r>
        <w:t xml:space="preserve"> </w:t>
      </w:r>
      <w:r>
        <w:rPr>
          <w:bCs/>
          <w:b/>
        </w:rPr>
        <w:t xml:space="preserve">ABW and open-plan</w:t>
      </w:r>
      <w:r>
        <w:t xml:space="preserve"> </w:t>
      </w:r>
      <w:r>
        <w:t xml:space="preserve">outcomes hinge on implementation fidelity (whether focus zones are actually protected) more than on the concept, which the geometry cannot fully capture. The</w:t>
      </w:r>
      <w:r>
        <w:t xml:space="preserve"> </w:t>
      </w:r>
      <w:r>
        <w:rPr>
          <w:bCs/>
          <w:b/>
        </w:rPr>
        <w:t xml:space="preserve">office effect sizes</w:t>
      </w:r>
      <w:r>
        <w:t xml:space="preserve"> </w:t>
      </w:r>
      <w:r>
        <w:t xml:space="preserve">for daylight/view cognition rest on small-N studies; the robust claim is directional (view content &gt; daylux) not quantitative.</w:t>
      </w:r>
      <w:r>
        <w:t xml:space="preserve"> </w:t>
      </w:r>
      <w:r>
        <w:rPr>
          <w:bCs/>
          <w:b/>
        </w:rPr>
        <w:t xml:space="preserve">Refuge indoors</w:t>
      </w:r>
      <w:r>
        <w:t xml:space="preserve"> </w:t>
      </w:r>
      <w:r>
        <w:t xml:space="preserve">is weakly and inconsistently supported, so its weight is uncertain. And the</w:t>
      </w:r>
      <w:r>
        <w:t xml:space="preserve"> </w:t>
      </w:r>
      <w:r>
        <w:rPr>
          <w:bCs/>
          <w:b/>
        </w:rPr>
        <w:t xml:space="preserve">IEQ economics</w:t>
      </w:r>
      <w:r>
        <w:t xml:space="preserve"> </w:t>
      </w:r>
      <w:r>
        <w:t xml:space="preserve">(Fisk, Allen) are order-of-magnitude scoping estimates whose achievable fraction is the real unknown — usable as sensitivity envelopes, not point returns. Finally, almost the entire literature is</w:t>
      </w:r>
      <w:r>
        <w:t xml:space="preserve"> </w:t>
      </w:r>
      <w:r>
        <w:rPr>
          <w:bCs/>
          <w:b/>
        </w:rPr>
        <w:t xml:space="preserve">cross-sectional and self-report</w:t>
      </w:r>
      <w:r>
        <w:t xml:space="preserve">; the field lacks the longitudinal, behaviorally-and-physiologically-measured validation that the cognitive-code programme (and the experiment platform) is positioned to supply — which is precisely why validation must gate any criterion before it is trusted as fact.</w:t>
      </w:r>
    </w:p>
    <w:p>
      <w:r>
        <w:pict>
          <v:rect style="width:0;height:1.5pt" o:hralign="center" o:hrstd="t" o:hr="t"/>
        </w:pict>
      </w:r>
    </w:p>
    <w:bookmarkEnd w:id="30"/>
    <w:bookmarkStart w:id="31" w:name="references-deduplicated"/>
    <w:p>
      <w:pPr>
        <w:pStyle w:val="Heading2"/>
      </w:pPr>
      <w:r>
        <w:t xml:space="preserve">5. References (deduplicated)</w:t>
      </w:r>
    </w:p>
    <w:p>
      <w:pPr>
        <w:pStyle w:val="FirstParagraph"/>
      </w:pPr>
      <w:r>
        <w:t xml:space="preserve">Allen, T. J. (1977).</w:t>
      </w:r>
      <w:r>
        <w:t xml:space="preserve"> </w:t>
      </w:r>
      <w:r>
        <w:rPr>
          <w:iCs/>
          <w:i/>
        </w:rPr>
        <w:t xml:space="preserve">Managing the Flow of Technology.</w:t>
      </w:r>
      <w:r>
        <w:t xml:space="preserve"> </w:t>
      </w:r>
      <w:r>
        <w:t xml:space="preserve">MIT Press. — and Allen, T. J., &amp; Henn, G. (2007).</w:t>
      </w:r>
      <w:r>
        <w:t xml:space="preserve"> </w:t>
      </w:r>
      <w:r>
        <w:rPr>
          <w:iCs/>
          <w:i/>
        </w:rPr>
        <w:t xml:space="preserve">The Organization and Architecture of Innovation.</w:t>
      </w:r>
      <w:r>
        <w:t xml:space="preserve"> </w:t>
      </w:r>
      <w:r>
        <w:t xml:space="preserve">Elsevier.</w:t>
      </w:r>
      <w:r>
        <w:t xml:space="preserve"> </w:t>
      </w:r>
      <w:r>
        <w:t xml:space="preserve">Appleton, J. (1975).</w:t>
      </w:r>
      <w:r>
        <w:t xml:space="preserve"> </w:t>
      </w:r>
      <w:r>
        <w:rPr>
          <w:iCs/>
          <w:i/>
        </w:rPr>
        <w:t xml:space="preserve">The Experience of Landscape.</w:t>
      </w:r>
      <w:r>
        <w:t xml:space="preserve"> </w:t>
      </w:r>
      <w:r>
        <w:t xml:space="preserve">Wiley.</w:t>
      </w:r>
      <w:r>
        <w:t xml:space="preserve"> </w:t>
      </w:r>
      <w:r>
        <w:t xml:space="preserve">Bäcklander, G., &amp; Richter, A. (2022). Task–environment fit in activity-based working.</w:t>
      </w:r>
      <w:r>
        <w:t xml:space="preserve"> </w:t>
      </w:r>
      <w:r>
        <w:rPr>
          <w:iCs/>
          <w:i/>
        </w:rPr>
        <w:t xml:space="preserve">Environment and Behavior.</w:t>
      </w:r>
      <w:r>
        <w:t xml:space="preserve"> </w:t>
      </w:r>
      <w:r>
        <w:t xml:space="preserve">Banbury, S., &amp; Berry, D. C. (1998). Disruption of office-related tasks by speech and office noise.</w:t>
      </w:r>
      <w:r>
        <w:t xml:space="preserve"> </w:t>
      </w:r>
      <w:r>
        <w:rPr>
          <w:iCs/>
          <w:i/>
        </w:rPr>
        <w:t xml:space="preserve">British Journal of Psychology, 89</w:t>
      </w:r>
      <w:r>
        <w:t xml:space="preserve">(3).</w:t>
      </w:r>
      <w:r>
        <w:t xml:space="preserve"> </w:t>
      </w:r>
      <w:r>
        <w:t xml:space="preserve">Bernstein, E. S., &amp; Turban, S. (2018). The impact of the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workspace on human collaboration.</w:t>
      </w:r>
      <w:r>
        <w:t xml:space="preserve"> </w:t>
      </w:r>
      <w:r>
        <w:rPr>
          <w:iCs/>
          <w:i/>
        </w:rPr>
        <w:t xml:space="preserve">Philosophical Transactions of the Royal Society B, 373,</w:t>
      </w:r>
      <w:r>
        <w:t xml:space="preserve"> </w:t>
      </w:r>
      <w:r>
        <w:t xml:space="preserve">20170239.</w:t>
      </w:r>
      <w:r>
        <w:t xml:space="preserve"> </w:t>
      </w:r>
      <w:r>
        <w:t xml:space="preserve">Bodin Danielsson, C., et al. (2014). Office design’s association with sick leave.</w:t>
      </w:r>
      <w:r>
        <w:t xml:space="preserve"> </w:t>
      </w:r>
      <w:r>
        <w:rPr>
          <w:iCs/>
          <w:i/>
        </w:rPr>
        <w:t xml:space="preserve">Ergonomics.</w:t>
      </w:r>
      <w:r>
        <w:t xml:space="preserve"> </w:t>
      </w:r>
      <w:r>
        <w:t xml:space="preserve">Brown, T. M., et al. (2022). Recommendations for daytime, evening, and nighttime indoor light exposure.</w:t>
      </w:r>
      <w:r>
        <w:t xml:space="preserve"> </w:t>
      </w:r>
      <w:r>
        <w:rPr>
          <w:iCs/>
          <w:i/>
        </w:rPr>
        <w:t xml:space="preserve">PLOS Biology, 20</w:t>
      </w:r>
      <w:r>
        <w:t xml:space="preserve">(3), e3001571. (with CIE S 026:2018.)</w:t>
      </w:r>
      <w:r>
        <w:t xml:space="preserve"> </w:t>
      </w:r>
      <w:r>
        <w:t xml:space="preserve">Browning, W., Ryan, C., &amp; Clancy, J. (2014).</w:t>
      </w:r>
      <w:r>
        <w:t xml:space="preserve"> </w:t>
      </w:r>
      <w:r>
        <w:rPr>
          <w:iCs/>
          <w:i/>
        </w:rPr>
        <w:t xml:space="preserve">14 Patterns of Biophilic Design.</w:t>
      </w:r>
      <w:r>
        <w:t xml:space="preserve"> </w:t>
      </w:r>
      <w:r>
        <w:t xml:space="preserve">Terrapin Bright Green.</w:t>
      </w:r>
      <w:r>
        <w:t xml:space="preserve"> </w:t>
      </w:r>
      <w:r>
        <w:t xml:space="preserve">Brunia, S., &amp; Hartjes-Gosselink, A. (2009). Personalization in non-territorial offices.</w:t>
      </w:r>
      <w:r>
        <w:t xml:space="preserve"> </w:t>
      </w:r>
      <w:r>
        <w:rPr>
          <w:iCs/>
          <w:i/>
        </w:rPr>
        <w:t xml:space="preserve">Journal of Corporate Real Estate, 11</w:t>
      </w:r>
      <w:r>
        <w:t xml:space="preserve">(3).</w:t>
      </w:r>
      <w:r>
        <w:t xml:space="preserve"> </w:t>
      </w:r>
      <w:r>
        <w:t xml:space="preserve">Dosen, A. S., &amp; Ostwald, M. J. (2016). Evidence for prospect-refuge theory: a meta-analysis.</w:t>
      </w:r>
      <w:r>
        <w:t xml:space="preserve"> </w:t>
      </w:r>
      <w:r>
        <w:rPr>
          <w:iCs/>
          <w:i/>
        </w:rPr>
        <w:t xml:space="preserve">City, Territory and Architecture, 3,</w:t>
      </w:r>
      <w:r>
        <w:t xml:space="preserve"> </w:t>
      </w:r>
      <w:r>
        <w:t xml:space="preserve">4.</w:t>
      </w:r>
      <w:r>
        <w:t xml:space="preserve"> </w:t>
      </w:r>
      <w:r>
        <w:t xml:space="preserve">Elsbach, K. D. (2003). Relating physical environment to self-categorizations.</w:t>
      </w:r>
      <w:r>
        <w:t xml:space="preserve"> </w:t>
      </w:r>
      <w:r>
        <w:rPr>
          <w:iCs/>
          <w:i/>
        </w:rPr>
        <w:t xml:space="preserve">Administrative Science Quarterly, 48</w:t>
      </w:r>
      <w:r>
        <w:t xml:space="preserve">(4).</w:t>
      </w:r>
      <w:r>
        <w:t xml:space="preserve"> </w:t>
      </w:r>
      <w:r>
        <w:t xml:space="preserve">Engelen, L., et al. (2018/2022). Activity-based working: health, behaviour, and the</w:t>
      </w:r>
      <w:r>
        <w:t xml:space="preserve"> </w:t>
      </w:r>
      <w:r>
        <w:t xml:space="preserve">“</w:t>
      </w:r>
      <w:r>
        <w:t xml:space="preserve">productivity tax.</w:t>
      </w:r>
      <w:r>
        <w:t xml:space="preserve">”</w:t>
      </w:r>
      <w:r>
        <w:t xml:space="preserve"> </w:t>
      </w:r>
      <w:r>
        <w:rPr>
          <w:iCs/>
          <w:i/>
        </w:rPr>
        <w:t xml:space="preserve">Building &amp; Environment / Management Review Quarterly.</w:t>
      </w:r>
      <w:r>
        <w:t xml:space="preserve"> </w:t>
      </w:r>
      <w:r>
        <w:t xml:space="preserve">Evans, G. W. (and Lepore). Residential density, control, and social withdrawal.</w:t>
      </w:r>
      <w:r>
        <w:t xml:space="preserve"> </w:t>
      </w:r>
      <w:r>
        <w:t xml:space="preserve">Festinger, L., Schachter, S., &amp; Back, K. (1950).</w:t>
      </w:r>
      <w:r>
        <w:t xml:space="preserve"> </w:t>
      </w:r>
      <w:r>
        <w:rPr>
          <w:iCs/>
          <w:i/>
        </w:rPr>
        <w:t xml:space="preserve">Social Pressures in Informal Groups.</w:t>
      </w:r>
      <w:r>
        <w:t xml:space="preserve"> </w:t>
      </w:r>
      <w:r>
        <w:t xml:space="preserve">Harper.</w:t>
      </w:r>
      <w:r>
        <w:t xml:space="preserve"> </w:t>
      </w:r>
      <w:r>
        <w:t xml:space="preserve">Fisk, W. J. (2000). Health and productivity gains from better indoor environments.</w:t>
      </w:r>
      <w:r>
        <w:t xml:space="preserve"> </w:t>
      </w:r>
      <w:r>
        <w:rPr>
          <w:iCs/>
          <w:i/>
        </w:rPr>
        <w:t xml:space="preserve">Annual Review of Energy and the Environment, 25.</w:t>
      </w:r>
      <w:r>
        <w:t xml:space="preserve"> </w:t>
      </w:r>
      <w:r>
        <w:t xml:space="preserve">Graham, L. T., Parkinson, T., &amp; Schiavon, S. (2021). Lessons learned from 20 years of CBE occupant surveys.</w:t>
      </w:r>
      <w:r>
        <w:t xml:space="preserve"> </w:t>
      </w:r>
      <w:r>
        <w:rPr>
          <w:iCs/>
          <w:i/>
        </w:rPr>
        <w:t xml:space="preserve">Buildings &amp; Cities.</w:t>
      </w:r>
      <w:r>
        <w:t xml:space="preserve"> </w:t>
      </w:r>
      <w:r>
        <w:t xml:space="preserve">Hartig, T., Mitchell, R., de Vries, S., &amp; Frumkin, H. (2014). Nature and health.</w:t>
      </w:r>
      <w:r>
        <w:t xml:space="preserve"> </w:t>
      </w:r>
      <w:r>
        <w:rPr>
          <w:iCs/>
          <w:i/>
        </w:rPr>
        <w:t xml:space="preserve">Annual Review of Public Health, 35.</w:t>
      </w:r>
      <w:r>
        <w:t xml:space="preserve"> </w:t>
      </w:r>
      <w:r>
        <w:t xml:space="preserve">Hillier, B., &amp; Hanson, J. (1984).</w:t>
      </w:r>
      <w:r>
        <w:t xml:space="preserve"> </w:t>
      </w:r>
      <w:r>
        <w:rPr>
          <w:iCs/>
          <w:i/>
        </w:rPr>
        <w:t xml:space="preserve">The Social Logic of Space.</w:t>
      </w:r>
      <w:r>
        <w:t xml:space="preserve"> </w:t>
      </w:r>
      <w:r>
        <w:t xml:space="preserve">Cambridge Univ. Press. — and Hillier, B., Penn, A., Hanson, J., Grajewski, T., &amp; Xu, J. (1993). Natural movement.</w:t>
      </w:r>
      <w:r>
        <w:t xml:space="preserve"> </w:t>
      </w:r>
      <w:r>
        <w:rPr>
          <w:iCs/>
          <w:i/>
        </w:rPr>
        <w:t xml:space="preserve">Environment and Planning B, 20</w:t>
      </w:r>
      <w:r>
        <w:t xml:space="preserve">(1).</w:t>
      </w:r>
      <w:r>
        <w:t xml:space="preserve"> </w:t>
      </w:r>
      <w:r>
        <w:t xml:space="preserve">Hongisto, V. (2005). A model predicting the effect of speech of varying intelligibility on work performance.</w:t>
      </w:r>
      <w:r>
        <w:t xml:space="preserve"> </w:t>
      </w:r>
      <w:r>
        <w:rPr>
          <w:iCs/>
          <w:i/>
        </w:rPr>
        <w:t xml:space="preserve">International Journal of Industrial Ergonomics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Indoor Air.</w:t>
      </w:r>
      <w:r>
        <w:t xml:space="preserve"> </w:t>
      </w:r>
      <w:r>
        <w:t xml:space="preserve">ISO 3382-3:2012/2022. Acoustics — room acoustic parameters — Part 3: Open-plan offices.</w:t>
      </w:r>
      <w:r>
        <w:t xml:space="preserve"> </w:t>
      </w:r>
      <w:r>
        <w:t xml:space="preserve">Irving, G. L., Ayoko, O. B., &amp; Ashkanasy, N. M. (2020). Collaboration, physical proximity and serendipitous encounters.</w:t>
      </w:r>
      <w:r>
        <w:t xml:space="preserve"> </w:t>
      </w:r>
      <w:r>
        <w:rPr>
          <w:iCs/>
          <w:i/>
        </w:rPr>
        <w:t xml:space="preserve">Organization Studies.</w:t>
      </w:r>
      <w:r>
        <w:t xml:space="preserve"> </w:t>
      </w:r>
      <w:r>
        <w:t xml:space="preserve">Jamrozik, A., et al. (2019). Access to daylight and view improves cognition and reduces eyestrain.</w:t>
      </w:r>
      <w:r>
        <w:t xml:space="preserve"> </w:t>
      </w:r>
      <w:r>
        <w:rPr>
          <w:iCs/>
          <w:i/>
        </w:rPr>
        <w:t xml:space="preserve">Building and Environment, 165,</w:t>
      </w:r>
      <w:r>
        <w:t xml:space="preserve"> </w:t>
      </w:r>
      <w:r>
        <w:t xml:space="preserve">106379.</w:t>
      </w:r>
      <w:r>
        <w:t xml:space="preserve"> </w:t>
      </w:r>
      <w:r>
        <w:t xml:space="preserve">Kabo, F., et al. (2014/2015). Shared paths to the lab.</w:t>
      </w:r>
      <w:r>
        <w:t xml:space="preserve"> </w:t>
      </w:r>
      <w:r>
        <w:rPr>
          <w:iCs/>
          <w:i/>
        </w:rPr>
        <w:t xml:space="preserve">Environment and Behavior, 47</w:t>
      </w:r>
      <w:r>
        <w:t xml:space="preserve">(1). — with Wineman, J., et al. (2014). Spatial layout, social structure, and innovation.</w:t>
      </w:r>
      <w:r>
        <w:t xml:space="preserve"> </w:t>
      </w:r>
      <w:r>
        <w:rPr>
          <w:iCs/>
          <w:i/>
        </w:rPr>
        <w:t xml:space="preserve">Environment and Planning B, 41</w:t>
      </w:r>
      <w:r>
        <w:t xml:space="preserve">(6).</w:t>
      </w:r>
      <w:r>
        <w:t xml:space="preserve"> </w:t>
      </w:r>
      <w:r>
        <w:t xml:space="preserve">Kim, J., &amp; de Dear, R. (2013). Workspace satisfaction: the privacy–communication trade-off in open-plan offices.</w:t>
      </w:r>
      <w:r>
        <w:t xml:space="preserve"> </w:t>
      </w:r>
      <w:r>
        <w:rPr>
          <w:iCs/>
          <w:i/>
        </w:rPr>
        <w:t xml:space="preserve">Journal of Environmental Psychology, 36.</w:t>
      </w:r>
      <w:r>
        <w:t xml:space="preserve"> </w:t>
      </w:r>
      <w:r>
        <w:t xml:space="preserve">Kraut, R. E., Fish, R. S., Root, R. W., &amp; Chalfonte, B. L. (1990). Informal communication in organizations. — and Kraut, R. E., &amp; Cummings, J. (2002). Proximity and distance in work groups. In</w:t>
      </w:r>
      <w:r>
        <w:t xml:space="preserve"> </w:t>
      </w:r>
      <w:r>
        <w:rPr>
          <w:iCs/>
          <w:i/>
        </w:rPr>
        <w:t xml:space="preserve">Distributed Work.</w:t>
      </w:r>
      <w:r>
        <w:t xml:space="preserve"> </w:t>
      </w:r>
      <w:r>
        <w:t xml:space="preserve">Leaman, A., &amp; Bordass, B. (1999). Productivity in buildings: the</w:t>
      </w:r>
      <w:r>
        <w:t xml:space="preserve"> </w:t>
      </w:r>
      <w:r>
        <w:t xml:space="preserve">“</w:t>
      </w:r>
      <w:r>
        <w:t xml:space="preserve">killer</w:t>
      </w:r>
      <w:r>
        <w:t xml:space="preserve">”</w:t>
      </w:r>
      <w:r>
        <w:t xml:space="preserve"> </w:t>
      </w:r>
      <w:r>
        <w:t xml:space="preserve">variables.</w:t>
      </w:r>
      <w:r>
        <w:t xml:space="preserve"> </w:t>
      </w:r>
      <w:r>
        <w:rPr>
          <w:iCs/>
          <w:i/>
        </w:rPr>
        <w:t xml:space="preserve">Building Research &amp; Information, 27</w:t>
      </w:r>
      <w:r>
        <w:t xml:space="preserve">(1);</w:t>
      </w:r>
      <w:r>
        <w:t xml:space="preserve"> </w:t>
      </w:r>
      <w:r>
        <w:t xml:space="preserve">“</w:t>
      </w:r>
      <w:r>
        <w:t xml:space="preserve">Twenty Years On</w:t>
      </w:r>
      <w:r>
        <w:t xml:space="preserve">”</w:t>
      </w:r>
      <w:r>
        <w:t xml:space="preserve"> </w:t>
      </w:r>
      <w:r>
        <w:t xml:space="preserve">(2016).</w:t>
      </w:r>
      <w:r>
        <w:t xml:space="preserve"> </w:t>
      </w:r>
      <w:r>
        <w:t xml:space="preserve">Leesman (2017–2019). The complexity equation; workplace alignment. (Industry data.)</w:t>
      </w:r>
      <w:r>
        <w:t xml:space="preserve"> </w:t>
      </w:r>
      <w:r>
        <w:t xml:space="preserve">LEED v4.1 EQ credit</w:t>
      </w:r>
      <w:r>
        <w:t xml:space="preserve"> </w:t>
      </w:r>
      <w:r>
        <w:t xml:space="preserve">“</w:t>
      </w:r>
      <w:r>
        <w:t xml:space="preserve">Quality Views</w:t>
      </w:r>
      <w:r>
        <w:t xml:space="preserve">”</w:t>
      </w:r>
      <w:r>
        <w:t xml:space="preserve">; WELL v2 (Light/Mind).</w:t>
      </w:r>
      <w:r>
        <w:t xml:space="preserve"> </w:t>
      </w:r>
      <w:r>
        <w:t xml:space="preserve">Allen, J. G., MacNaughton, P., Satish, U., et al. (2016). Cognitive function scores, CO₂, ventilation, VOCs (COGfx).</w:t>
      </w:r>
      <w:r>
        <w:t xml:space="preserve"> </w:t>
      </w:r>
      <w:r>
        <w:rPr>
          <w:iCs/>
          <w:i/>
        </w:rPr>
        <w:t xml:space="preserve">Environmental Health Perspectives, 124</w:t>
      </w:r>
      <w:r>
        <w:t xml:space="preserve">(6).</w:t>
      </w:r>
      <w:r>
        <w:t xml:space="preserve"> </w:t>
      </w:r>
      <w:r>
        <w:t xml:space="preserve">Rashid, M., Kampschroer, K., Wineman, J., &amp; Zimring, C. (2006). Spatial layout and face-to-face interaction in offices.</w:t>
      </w:r>
      <w:r>
        <w:t xml:space="preserve"> </w:t>
      </w:r>
      <w:r>
        <w:rPr>
          <w:iCs/>
          <w:i/>
        </w:rPr>
        <w:t xml:space="preserve">Environment and Planning B, 33</w:t>
      </w:r>
      <w:r>
        <w:t xml:space="preserve">(6).</w:t>
      </w:r>
      <w:r>
        <w:t xml:space="preserve"> </w:t>
      </w:r>
      <w:r>
        <w:t xml:space="preserve">Sailer, K., &amp; McCulloh, I. (2012). Social networks and spatial configuration.</w:t>
      </w:r>
      <w:r>
        <w:t xml:space="preserve"> </w:t>
      </w:r>
      <w:r>
        <w:rPr>
          <w:iCs/>
          <w:i/>
        </w:rPr>
        <w:t xml:space="preserve">Social Networks, 34</w:t>
      </w:r>
      <w:r>
        <w:t xml:space="preserve">(1). — and Koutsolampros, P., Sailer, K., et al. (2019). Dissecting Visibility Graph Analysis.</w:t>
      </w:r>
      <w:r>
        <w:t xml:space="preserve"> </w:t>
      </w:r>
      <w:r>
        <w:rPr>
          <w:iCs/>
          <w:i/>
        </w:rPr>
        <w:t xml:space="preserve">SSS12.</w:t>
      </w:r>
      <w:r>
        <w:t xml:space="preserve"> </w:t>
      </w:r>
      <w:r>
        <w:t xml:space="preserve">Stokols, D. (1972). On the distinction between density and crowding.</w:t>
      </w:r>
      <w:r>
        <w:t xml:space="preserve"> </w:t>
      </w:r>
      <w:r>
        <w:rPr>
          <w:iCs/>
          <w:i/>
        </w:rPr>
        <w:t xml:space="preserve">Psychological Review;</w:t>
      </w:r>
      <w:r>
        <w:t xml:space="preserve"> </w:t>
      </w:r>
      <w:r>
        <w:t xml:space="preserve">(1976)</w:t>
      </w:r>
      <w:r>
        <w:t xml:space="preserve"> </w:t>
      </w:r>
      <w:r>
        <w:rPr>
          <w:iCs/>
          <w:i/>
        </w:rPr>
        <w:t xml:space="preserve">Environment and Behavior, 8.</w:t>
      </w:r>
      <w:r>
        <w:t xml:space="preserve"> </w:t>
      </w:r>
      <w:r>
        <w:t xml:space="preserve">Turner, A., Doxa, M., O’Sullivan, D., &amp; Penn, A. (2001). From isovists to visibility graphs.</w:t>
      </w:r>
      <w:r>
        <w:t xml:space="preserve"> </w:t>
      </w:r>
      <w:r>
        <w:rPr>
          <w:iCs/>
          <w:i/>
        </w:rPr>
        <w:t xml:space="preserve">Environment and Planning B, 28</w:t>
      </w:r>
      <w:r>
        <w:t xml:space="preserve">(1).</w:t>
      </w:r>
      <w:r>
        <w:t xml:space="preserve"> </w:t>
      </w:r>
      <w:r>
        <w:t xml:space="preserve">Ulrich, R. S. (1984). View through a window may influence recovery from surgery.</w:t>
      </w:r>
      <w:r>
        <w:t xml:space="preserve"> </w:t>
      </w:r>
      <w:r>
        <w:rPr>
          <w:iCs/>
          <w:i/>
        </w:rPr>
        <w:t xml:space="preserve">Science, 224.</w:t>
      </w:r>
      <w:r>
        <w:t xml:space="preserve"> </w:t>
      </w:r>
      <w:r>
        <w:t xml:space="preserve">Veitch, J. A., Charles, K. E., Farley, K. M. J., &amp; Newsham, G. R. (2007). A model of satisfaction with open-plan office conditions (COPE).</w:t>
      </w:r>
      <w:r>
        <w:t xml:space="preserve"> </w:t>
      </w:r>
      <w:r>
        <w:rPr>
          <w:iCs/>
          <w:i/>
        </w:rPr>
        <w:t xml:space="preserve">Journal of Environmental Psychology.</w:t>
      </w:r>
      <w:r>
        <w:t xml:space="preserve"> </w:t>
      </w:r>
      <w:r>
        <w:t xml:space="preserve">Vischer, J. C. (2005/2007). Environmental psychology of workspace; workspace stress.</w:t>
      </w:r>
      <w:r>
        <w:t xml:space="preserve"> </w:t>
      </w:r>
      <w:r>
        <w:rPr>
          <w:iCs/>
          <w:i/>
        </w:rPr>
        <w:t xml:space="preserve">Stress and Health, 23</w:t>
      </w:r>
      <w:r>
        <w:t xml:space="preserve">(3).</w:t>
      </w:r>
      <w:r>
        <w:t xml:space="preserve"> </w:t>
      </w:r>
      <w:r>
        <w:t xml:space="preserve">Weisman, J. (1981). Evaluating architectural legibility: way-finding.</w:t>
      </w:r>
      <w:r>
        <w:t xml:space="preserve"> </w:t>
      </w:r>
      <w:r>
        <w:rPr>
          <w:iCs/>
          <w:i/>
        </w:rPr>
        <w:t xml:space="preserve">Environment and Behavior, 13</w:t>
      </w:r>
      <w:r>
        <w:t xml:space="preserve">(2). — with Passini, R., &amp; Arthur, P. (wayfinding as spatial problem-solving).</w:t>
      </w:r>
    </w:p>
    <w:p>
      <w:r>
        <w:pict>
          <v:rect style="width:0;height:1.5pt" o:hralign="center" o:hrstd="t" o:hr="t"/>
        </w:pict>
      </w:r>
    </w:p>
    <w:bookmarkEnd w:id="31"/>
    <w:bookmarkStart w:id="32" w:name="verification-boundary-rule-0"/>
    <w:p>
      <w:pPr>
        <w:pStyle w:val="Heading2"/>
      </w:pPr>
      <w:r>
        <w:t xml:space="preserve">6. Verification boundary (RULE 0)</w:t>
      </w:r>
    </w:p>
    <w:p>
      <w:pPr>
        <w:pStyle w:val="FirstParagraph"/>
      </w:pPr>
      <w:r>
        <w:t xml:space="preserve">This synthesis is drawn from five parallel literature searches on 2026-07-14. Full text was obtained for: the Dissecting-VGA dataset R² values, Kabo path-overlap effect sizes, Kraut locality percentages, Kim &amp; de Dear satisfaction figures, Dosen &amp; Ostwald prospect/refuge percentages, ISO 3382-3 targets, LEED EQc8 thresholds, Brown et al. melanopic numbers, Ulrich statistics, Jamrozik results, Engelen ABW effect sizes, Vischer’s model, the CBE 20-year synthesis, and the Leaman &amp; Bordass 2016 update. Reported at abstract/secondary level (verify against primary before publication): Bernstein &amp; Turban exact IM figures, Banbury &amp; Berry decrement magnitude, Festinger’s exact percentages, the space-syntax movement meta-analysis pooled coefficient, Hillier 1993 and Turner 2001 originals, Elsbach 2003, and the Allen/Fisk/Allen-COGfx figures (the last flagged as inflated by their own authors). The</w:t>
      </w:r>
      <w:r>
        <w:t xml:space="preserve"> </w:t>
      </w:r>
      <w:r>
        <w:rPr>
          <w:bCs/>
          <w:b/>
        </w:rPr>
        <w:t xml:space="preserve">direction</w:t>
      </w:r>
      <w:r>
        <w:t xml:space="preserve"> </w:t>
      </w:r>
      <w:r>
        <w:t xml:space="preserve">of every principle above is well supported; several</w:t>
      </w:r>
      <w:r>
        <w:t xml:space="preserve"> </w:t>
      </w:r>
      <w:r>
        <w:rPr>
          <w:bCs/>
          <w:b/>
        </w:rPr>
        <w:t xml:space="preserve">magnitudes</w:t>
      </w:r>
      <w:r>
        <w:t xml:space="preserve"> </w:t>
      </w:r>
      <w:r>
        <w:t xml:space="preserve">are context-dependent and tagged accordingly. No criterion here should be trusted as fact in the optimizer until the cognitive-code validation programme confirms it against measured human outcomes.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2026-07-14T19:13:01Z</dcterms:created>
  <dcterms:modified xsi:type="dcterms:W3CDTF">2026-07-14T19:13:01Z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