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5BA" w:rsidRPr="00913DA4" w:rsidRDefault="00C825BA" w:rsidP="004E12A3">
      <w:pPr>
        <w:tabs>
          <w:tab w:val="right" w:pos="14570"/>
        </w:tabs>
        <w:spacing w:after="0" w:line="240" w:lineRule="auto"/>
        <w:ind w:left="10348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bookmarkStart w:id="0" w:name="_GoBack"/>
      <w:bookmarkEnd w:id="0"/>
      <w:r w:rsidRPr="00924C86">
        <w:rPr>
          <w:rFonts w:ascii="Times New Roman" w:eastAsia="Times New Roman" w:hAnsi="Times New Roman" w:cs="Times New Roman"/>
          <w:sz w:val="30"/>
          <w:szCs w:val="30"/>
          <w:lang w:eastAsia="ru-RU"/>
        </w:rPr>
        <w:t>Приложение № 6</w:t>
      </w:r>
    </w:p>
    <w:p w:rsidR="00506D9D" w:rsidRPr="00506D9D" w:rsidRDefault="00C825BA" w:rsidP="004E12A3">
      <w:pPr>
        <w:tabs>
          <w:tab w:val="right" w:pos="14570"/>
        </w:tabs>
        <w:spacing w:after="0" w:line="240" w:lineRule="auto"/>
        <w:ind w:left="10348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к п</w:t>
      </w:r>
      <w:r w:rsidR="003D6513">
        <w:rPr>
          <w:rFonts w:ascii="Times New Roman" w:eastAsia="Times New Roman" w:hAnsi="Times New Roman" w:cs="Times New Roman"/>
          <w:sz w:val="30"/>
          <w:szCs w:val="30"/>
          <w:lang w:eastAsia="ru-RU"/>
        </w:rPr>
        <w:t>остановлению комитета</w:t>
      </w:r>
    </w:p>
    <w:p w:rsidR="00506D9D" w:rsidRPr="00506D9D" w:rsidRDefault="00506D9D" w:rsidP="004E12A3">
      <w:pPr>
        <w:spacing w:after="0" w:line="240" w:lineRule="auto"/>
        <w:ind w:left="10348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06D9D">
        <w:rPr>
          <w:rFonts w:ascii="Times New Roman" w:eastAsia="Times New Roman" w:hAnsi="Times New Roman" w:cs="Times New Roman"/>
          <w:sz w:val="30"/>
          <w:szCs w:val="30"/>
          <w:lang w:eastAsia="ru-RU"/>
        </w:rPr>
        <w:t>Тульской области по тарифам</w:t>
      </w:r>
    </w:p>
    <w:p w:rsidR="00506D9D" w:rsidRDefault="00506D9D" w:rsidP="004E12A3">
      <w:pPr>
        <w:tabs>
          <w:tab w:val="left" w:pos="11057"/>
          <w:tab w:val="right" w:pos="14601"/>
        </w:tabs>
        <w:spacing w:after="0" w:line="240" w:lineRule="auto"/>
        <w:ind w:left="10348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о</w:t>
      </w:r>
      <w:r w:rsidRPr="00506D9D">
        <w:rPr>
          <w:rFonts w:ascii="Times New Roman" w:eastAsia="Times New Roman" w:hAnsi="Times New Roman" w:cs="Times New Roman"/>
          <w:sz w:val="30"/>
          <w:szCs w:val="30"/>
          <w:lang w:eastAsia="ru-RU"/>
        </w:rPr>
        <w:t>т 2</w:t>
      </w:r>
      <w:r w:rsidR="000869AC" w:rsidRPr="00A74CC6">
        <w:rPr>
          <w:rFonts w:ascii="Times New Roman" w:eastAsia="Times New Roman" w:hAnsi="Times New Roman" w:cs="Times New Roman"/>
          <w:sz w:val="30"/>
          <w:szCs w:val="30"/>
          <w:lang w:eastAsia="ru-RU"/>
        </w:rPr>
        <w:t>6</w:t>
      </w:r>
      <w:r w:rsidRPr="00506D9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декабря 201</w:t>
      </w:r>
      <w:r w:rsidR="00A74E3C" w:rsidRPr="00924C86">
        <w:rPr>
          <w:rFonts w:ascii="Times New Roman" w:eastAsia="Times New Roman" w:hAnsi="Times New Roman" w:cs="Times New Roman"/>
          <w:sz w:val="30"/>
          <w:szCs w:val="30"/>
          <w:lang w:eastAsia="ru-RU"/>
        </w:rPr>
        <w:t>9</w:t>
      </w:r>
      <w:r w:rsidRPr="00506D9D">
        <w:rPr>
          <w:rFonts w:ascii="Times New Roman" w:eastAsia="Times New Roman" w:hAnsi="Times New Roman" w:cs="Times New Roman"/>
          <w:sz w:val="30"/>
          <w:szCs w:val="30"/>
          <w:lang w:eastAsia="ru-RU"/>
        </w:rPr>
        <w:t>г</w:t>
      </w:r>
      <w:r w:rsidR="00246D6C" w:rsidRPr="000869A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№</w:t>
      </w:r>
      <w:r w:rsidR="00A74E3C" w:rsidRPr="00924C86">
        <w:rPr>
          <w:rFonts w:ascii="Times New Roman" w:eastAsia="Times New Roman" w:hAnsi="Times New Roman" w:cs="Times New Roman"/>
          <w:sz w:val="30"/>
          <w:szCs w:val="30"/>
          <w:lang w:eastAsia="ru-RU"/>
        </w:rPr>
        <w:t>48</w:t>
      </w:r>
      <w:r w:rsidR="000869AC" w:rsidRPr="00A74CC6">
        <w:rPr>
          <w:rFonts w:ascii="Times New Roman" w:eastAsia="Times New Roman" w:hAnsi="Times New Roman" w:cs="Times New Roman"/>
          <w:sz w:val="30"/>
          <w:szCs w:val="30"/>
          <w:lang w:eastAsia="ru-RU"/>
        </w:rPr>
        <w:t>/1</w:t>
      </w:r>
    </w:p>
    <w:p w:rsidR="00506D9D" w:rsidRPr="00506D9D" w:rsidRDefault="00506D9D" w:rsidP="00506D9D">
      <w:pPr>
        <w:tabs>
          <w:tab w:val="left" w:pos="11057"/>
          <w:tab w:val="right" w:pos="14601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06D9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:rsidR="00506D9D" w:rsidRPr="00506D9D" w:rsidRDefault="00506D9D" w:rsidP="00506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06D9D">
        <w:rPr>
          <w:rFonts w:ascii="Times New Roman" w:eastAsia="Times New Roman" w:hAnsi="Times New Roman" w:cs="Times New Roman"/>
          <w:sz w:val="30"/>
          <w:szCs w:val="30"/>
          <w:lang w:eastAsia="ru-RU"/>
        </w:rPr>
        <w:t>Индивидуальные тарифы на услуги по передаче электрической энергии для взаиморасчетов</w:t>
      </w:r>
    </w:p>
    <w:p w:rsidR="00246D6C" w:rsidRPr="000869AC" w:rsidRDefault="00506D9D" w:rsidP="00506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06D9D">
        <w:rPr>
          <w:rFonts w:ascii="Times New Roman" w:eastAsia="Times New Roman" w:hAnsi="Times New Roman" w:cs="Times New Roman"/>
          <w:sz w:val="30"/>
          <w:szCs w:val="30"/>
          <w:lang w:eastAsia="ru-RU"/>
        </w:rPr>
        <w:t>между филиалом «Тулэнерго» ПАО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506D9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«МРСК Центра и Приволжья» и сетевыми организациями </w:t>
      </w:r>
    </w:p>
    <w:p w:rsidR="00506D9D" w:rsidRDefault="00506D9D" w:rsidP="00506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06D9D">
        <w:rPr>
          <w:rFonts w:ascii="Times New Roman" w:eastAsia="Times New Roman" w:hAnsi="Times New Roman" w:cs="Times New Roman"/>
          <w:sz w:val="30"/>
          <w:szCs w:val="30"/>
          <w:lang w:eastAsia="ru-RU"/>
        </w:rPr>
        <w:t>Тульской области на 20</w:t>
      </w:r>
      <w:r w:rsidR="004E12A3">
        <w:rPr>
          <w:rFonts w:ascii="Times New Roman" w:eastAsia="Times New Roman" w:hAnsi="Times New Roman" w:cs="Times New Roman"/>
          <w:sz w:val="30"/>
          <w:szCs w:val="30"/>
          <w:lang w:eastAsia="ru-RU"/>
        </w:rPr>
        <w:t>20</w:t>
      </w:r>
      <w:r w:rsidR="00246D6C" w:rsidRPr="00246D6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506D9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год </w:t>
      </w:r>
    </w:p>
    <w:p w:rsidR="002803B2" w:rsidRDefault="002803B2" w:rsidP="002803B2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2803B2" w:rsidRDefault="002803B2" w:rsidP="002803B2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АО «КРЭМЗ»</w:t>
      </w:r>
    </w:p>
    <w:p w:rsidR="002803B2" w:rsidRDefault="002803B2" w:rsidP="002803B2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п. 19 «а» Стандартов раскрытия информации,</w:t>
      </w:r>
    </w:p>
    <w:p w:rsidR="002803B2" w:rsidRDefault="002803B2" w:rsidP="002803B2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утв. Постановлением Правительства № 24 от 21.12.2004</w:t>
      </w:r>
    </w:p>
    <w:p w:rsidR="00F76BC5" w:rsidRPr="00605E72" w:rsidRDefault="00F76BC5" w:rsidP="00F76BC5">
      <w:pPr>
        <w:jc w:val="right"/>
        <w:rPr>
          <w:rFonts w:ascii="Times New Roman" w:hAnsi="Times New Roman" w:cs="Times New Roman"/>
        </w:rPr>
      </w:pPr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2263"/>
        <w:gridCol w:w="2268"/>
        <w:gridCol w:w="2268"/>
        <w:gridCol w:w="2552"/>
        <w:gridCol w:w="2268"/>
        <w:gridCol w:w="2835"/>
      </w:tblGrid>
      <w:tr w:rsidR="00F76BC5" w:rsidRPr="00F76BC5" w:rsidTr="00F76BC5">
        <w:tc>
          <w:tcPr>
            <w:tcW w:w="6799" w:type="dxa"/>
            <w:gridSpan w:val="3"/>
          </w:tcPr>
          <w:p w:rsidR="00F76BC5" w:rsidRPr="00F76BC5" w:rsidRDefault="00F76BC5" w:rsidP="00683E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1 полугодие</w:t>
            </w:r>
          </w:p>
        </w:tc>
        <w:tc>
          <w:tcPr>
            <w:tcW w:w="7655" w:type="dxa"/>
            <w:gridSpan w:val="3"/>
          </w:tcPr>
          <w:p w:rsidR="00F76BC5" w:rsidRPr="00F76BC5" w:rsidRDefault="00F76BC5" w:rsidP="00683E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2 полугодие</w:t>
            </w:r>
          </w:p>
        </w:tc>
      </w:tr>
      <w:tr w:rsidR="00F76BC5" w:rsidRPr="00F76BC5" w:rsidTr="00F76BC5">
        <w:tc>
          <w:tcPr>
            <w:tcW w:w="4531" w:type="dxa"/>
            <w:gridSpan w:val="2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Двух ставочный тариф</w:t>
            </w:r>
          </w:p>
        </w:tc>
        <w:tc>
          <w:tcPr>
            <w:tcW w:w="2268" w:type="dxa"/>
            <w:vMerge w:val="restart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Одно ставочный тариф</w:t>
            </w:r>
          </w:p>
        </w:tc>
        <w:tc>
          <w:tcPr>
            <w:tcW w:w="4820" w:type="dxa"/>
            <w:gridSpan w:val="2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Двух ставочный тариф</w:t>
            </w:r>
          </w:p>
        </w:tc>
        <w:tc>
          <w:tcPr>
            <w:tcW w:w="2835" w:type="dxa"/>
            <w:vMerge w:val="restart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Одно ставочный тариф</w:t>
            </w:r>
          </w:p>
        </w:tc>
      </w:tr>
      <w:tr w:rsidR="00F76BC5" w:rsidRPr="00F76BC5" w:rsidTr="00F76BC5">
        <w:tc>
          <w:tcPr>
            <w:tcW w:w="2263" w:type="dxa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Ставка на содержание электрических сетей</w:t>
            </w:r>
          </w:p>
        </w:tc>
        <w:tc>
          <w:tcPr>
            <w:tcW w:w="2268" w:type="dxa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Ставка на оплату технического расхода (потерь)</w:t>
            </w:r>
          </w:p>
        </w:tc>
        <w:tc>
          <w:tcPr>
            <w:tcW w:w="2268" w:type="dxa"/>
            <w:vMerge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Ставка на оплату технического расхода (потерь)</w:t>
            </w:r>
          </w:p>
        </w:tc>
        <w:tc>
          <w:tcPr>
            <w:tcW w:w="2268" w:type="dxa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Merge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6BC5" w:rsidRPr="00F76BC5" w:rsidTr="00F76BC5">
        <w:trPr>
          <w:trHeight w:val="416"/>
        </w:trPr>
        <w:tc>
          <w:tcPr>
            <w:tcW w:w="2263" w:type="dxa"/>
          </w:tcPr>
          <w:p w:rsidR="00F76BC5" w:rsidRPr="00F76BC5" w:rsidRDefault="00F76BC5" w:rsidP="00683E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руб./МВт мес.</w:t>
            </w:r>
          </w:p>
        </w:tc>
        <w:tc>
          <w:tcPr>
            <w:tcW w:w="2268" w:type="dxa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руб./МВт ч</w:t>
            </w:r>
          </w:p>
        </w:tc>
        <w:tc>
          <w:tcPr>
            <w:tcW w:w="2268" w:type="dxa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руб.кВт</w:t>
            </w:r>
            <w:proofErr w:type="spellEnd"/>
            <w:r w:rsidRPr="00F76BC5">
              <w:rPr>
                <w:rFonts w:ascii="Times New Roman" w:hAnsi="Times New Roman" w:cs="Times New Roman"/>
                <w:sz w:val="28"/>
                <w:szCs w:val="28"/>
              </w:rPr>
              <w:t xml:space="preserve"> ч</w:t>
            </w:r>
          </w:p>
        </w:tc>
        <w:tc>
          <w:tcPr>
            <w:tcW w:w="2552" w:type="dxa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руб./МВт мес.</w:t>
            </w:r>
          </w:p>
        </w:tc>
        <w:tc>
          <w:tcPr>
            <w:tcW w:w="2268" w:type="dxa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руб./МВт ч</w:t>
            </w:r>
          </w:p>
        </w:tc>
        <w:tc>
          <w:tcPr>
            <w:tcW w:w="2835" w:type="dxa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руб.кВт</w:t>
            </w:r>
            <w:proofErr w:type="spellEnd"/>
            <w:r w:rsidRPr="00F76BC5">
              <w:rPr>
                <w:rFonts w:ascii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0869AC" w:rsidRPr="00F76BC5" w:rsidTr="00F76BC5">
        <w:trPr>
          <w:trHeight w:val="561"/>
        </w:trPr>
        <w:tc>
          <w:tcPr>
            <w:tcW w:w="2263" w:type="dxa"/>
          </w:tcPr>
          <w:p w:rsidR="000869AC" w:rsidRPr="004E12A3" w:rsidRDefault="004E12A3" w:rsidP="00A74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411 605,79</w:t>
            </w:r>
          </w:p>
        </w:tc>
        <w:tc>
          <w:tcPr>
            <w:tcW w:w="2268" w:type="dxa"/>
          </w:tcPr>
          <w:p w:rsidR="000869AC" w:rsidRPr="000869AC" w:rsidRDefault="004E12A3" w:rsidP="004E1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15,81</w:t>
            </w:r>
          </w:p>
        </w:tc>
        <w:tc>
          <w:tcPr>
            <w:tcW w:w="2268" w:type="dxa"/>
          </w:tcPr>
          <w:p w:rsidR="000869AC" w:rsidRPr="004E12A3" w:rsidRDefault="004E12A3" w:rsidP="00A74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0,57232</w:t>
            </w:r>
          </w:p>
        </w:tc>
        <w:tc>
          <w:tcPr>
            <w:tcW w:w="2552" w:type="dxa"/>
          </w:tcPr>
          <w:p w:rsidR="000869AC" w:rsidRPr="00A74CC6" w:rsidRDefault="004E12A3" w:rsidP="00A74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385 484,03</w:t>
            </w:r>
          </w:p>
        </w:tc>
        <w:tc>
          <w:tcPr>
            <w:tcW w:w="2268" w:type="dxa"/>
          </w:tcPr>
          <w:p w:rsidR="000869AC" w:rsidRPr="00A74CC6" w:rsidRDefault="004E12A3" w:rsidP="00A74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15,23</w:t>
            </w:r>
          </w:p>
        </w:tc>
        <w:tc>
          <w:tcPr>
            <w:tcW w:w="2835" w:type="dxa"/>
          </w:tcPr>
          <w:p w:rsidR="000869AC" w:rsidRPr="00A74CC6" w:rsidRDefault="004E12A3" w:rsidP="00A74E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0,63028</w:t>
            </w:r>
          </w:p>
        </w:tc>
      </w:tr>
    </w:tbl>
    <w:p w:rsidR="001105D0" w:rsidRPr="00F76BC5" w:rsidRDefault="001105D0" w:rsidP="00506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3DA4" w:rsidRPr="00913DA4" w:rsidRDefault="00913DA4" w:rsidP="00913DA4">
      <w:pPr>
        <w:tabs>
          <w:tab w:val="left" w:pos="2085"/>
        </w:tabs>
      </w:pPr>
      <w:r>
        <w:tab/>
      </w:r>
      <w:r w:rsidRPr="00913DA4">
        <w:t>Источник официального опубликования решения об установлении тарифов:</w:t>
      </w:r>
    </w:p>
    <w:p w:rsidR="00913DA4" w:rsidRPr="00913DA4" w:rsidRDefault="00913DA4" w:rsidP="00913DA4">
      <w:pPr>
        <w:tabs>
          <w:tab w:val="left" w:pos="2085"/>
        </w:tabs>
      </w:pPr>
      <w:r w:rsidRPr="00913DA4">
        <w:t xml:space="preserve">официальный сайт Комитета Тульской области по тарифам </w:t>
      </w:r>
    </w:p>
    <w:p w:rsidR="002F2B1D" w:rsidRDefault="003D6513" w:rsidP="00913DA4">
      <w:pPr>
        <w:tabs>
          <w:tab w:val="left" w:pos="2085"/>
        </w:tabs>
      </w:pPr>
      <w:hyperlink r:id="rId4" w:history="1">
        <w:r w:rsidR="00913DA4" w:rsidRPr="00913DA4">
          <w:rPr>
            <w:rStyle w:val="a6"/>
          </w:rPr>
          <w:t>https://tarif.tularegion.ru/documents/</w:t>
        </w:r>
      </w:hyperlink>
    </w:p>
    <w:sectPr w:rsidR="002F2B1D" w:rsidSect="00506D9D">
      <w:pgSz w:w="16838" w:h="11906" w:orient="landscape"/>
      <w:pgMar w:top="851" w:right="1103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00"/>
    <w:rsid w:val="000869AC"/>
    <w:rsid w:val="001105D0"/>
    <w:rsid w:val="00135B4D"/>
    <w:rsid w:val="00136822"/>
    <w:rsid w:val="00246D6C"/>
    <w:rsid w:val="002803B2"/>
    <w:rsid w:val="002F2B1D"/>
    <w:rsid w:val="002F742C"/>
    <w:rsid w:val="003D6513"/>
    <w:rsid w:val="003F4BE2"/>
    <w:rsid w:val="004E12A3"/>
    <w:rsid w:val="00506D9D"/>
    <w:rsid w:val="005C5571"/>
    <w:rsid w:val="00671172"/>
    <w:rsid w:val="00913DA4"/>
    <w:rsid w:val="00922DBB"/>
    <w:rsid w:val="00924C86"/>
    <w:rsid w:val="009A69A7"/>
    <w:rsid w:val="00A74CC6"/>
    <w:rsid w:val="00A74E3C"/>
    <w:rsid w:val="00AD0900"/>
    <w:rsid w:val="00B26458"/>
    <w:rsid w:val="00B35865"/>
    <w:rsid w:val="00B439A2"/>
    <w:rsid w:val="00C825BA"/>
    <w:rsid w:val="00F7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F56CB"/>
  <w15:docId w15:val="{7204935F-9379-4AB2-93A6-D112B4B4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76B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76BC5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913D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6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rif.tularegion.ru/documen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OGE</cp:lastModifiedBy>
  <cp:revision>4</cp:revision>
  <cp:lastPrinted>2016-02-04T05:41:00Z</cp:lastPrinted>
  <dcterms:created xsi:type="dcterms:W3CDTF">2021-01-25T11:51:00Z</dcterms:created>
  <dcterms:modified xsi:type="dcterms:W3CDTF">2021-01-26T05:41:00Z</dcterms:modified>
</cp:coreProperties>
</file>