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  <w:t xml:space="preserve">IRON ANVIL II</w:t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ORDER OF BATTLE — TASK ORGANIZATION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6"/>
        <w:gridCol w:w="5184"/>
      </w:tblGrid>
      <w:tr>
        <w:tc>
          <w:tcPr>
            <w:tcW w:type="dxa" w:w="777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1/5</w:t>
            </w:r>
          </w:p>
        </w:tc>
        <w:tc>
          <w:tcPr>
            <w:tcW w:type="dxa" w:w="518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15 MAY 2026</w:t>
            </w:r>
          </w:p>
        </w:tc>
      </w:tr>
    </w:tbl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4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ELEMENT</w:t>
            </w:r>
          </w:p>
        </w:tc>
        <w:tc>
          <w:tcPr>
            <w:tcW w:type="dxa" w:w="26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UNIT</w:t>
            </w:r>
          </w:p>
        </w:tc>
        <w:tc>
          <w:tcPr>
            <w:tcW w:type="dxa" w:w="44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PURPOSE</w:t>
            </w:r>
          </w:p>
        </w:tc>
      </w:tr>
      <w:tr>
        <w:tc>
          <w:tcPr>
            <w:tcW w:type="dxa" w:w="1200"/>
            <w:vMerge w:val="restart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D8E8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9"/>
                <w:szCs w:val="19"/>
                <w:rFonts w:ascii="Arial" w:cs="Arial" w:eastAsia="Arial" w:hAnsi="Arial"/>
              </w:rPr>
              <w:t xml:space="preserve">ME</w:t>
            </w:r>
          </w:p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TASK</w:t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  <w:t xml:space="preserve">PURPOSE</w:t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tcW w:type="dxa" w:w="1200"/>
            <w:vMerge w:val="restart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A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9"/>
                <w:szCs w:val="19"/>
                <w:rFonts w:ascii="Arial" w:cs="Arial" w:eastAsia="Arial" w:hAnsi="Arial"/>
              </w:rPr>
              <w:t xml:space="preserve">SE1</w:t>
            </w:r>
          </w:p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EASDFASD</w:t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  <w:t xml:space="preserve">ASDFASD</w:t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tcW w:type="dxa" w:w="1200"/>
            <w:vMerge w:val="restart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D8E8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9"/>
                <w:szCs w:val="19"/>
                <w:rFonts w:ascii="Arial" w:cs="Arial" w:eastAsia="Arial" w:hAnsi="Arial"/>
              </w:rPr>
              <w:t xml:space="preserve">SE2</w:t>
            </w:r>
          </w:p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ASDFASDF</w:t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  <w:t xml:space="preserve">SADFASF</w:t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</w:tbl>
    <w:p>
      <w:pPr>
        <w:spacing w:before="0" w:after="0"/>
      </w:pPr>
      <w:r>
        <w:rPr>
          <w:sz w:val="2"/>
          <w:szCs w:val="2"/>
        </w:rPr>
      </w:r>
    </w:p>
    <w:p>
      <w:pPr>
        <w:sectPr>
          <w:headerReference w:type="default" r:id="rId6"/>
          <w:footerReference w:type="default" r:id="rId7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before="20" w:after="10"/>
        <w:jc w:val="center"/>
      </w:pPr>
      <w:r>
        <w:rPr>
          <w:b/>
          <w:bCs/>
          <w:i w:val="false"/>
          <w:iCs w:val="false"/>
          <w:color w:val="0F2034"/>
          <w:sz w:val="20"/>
          <w:szCs w:val="20"/>
          <w:rFonts w:ascii="Arial" w:cs="Arial" w:eastAsia="Arial" w:hAnsi="Arial"/>
        </w:rPr>
        <w:t xml:space="preserve">IRON ANVIL II</w:t>
      </w:r>
    </w:p>
    <w:p>
      <w:pPr>
        <w:pBdr>
          <w:bottom w:val="single" w:color="2A5070" w:sz="4"/>
        </w:pBdr>
        <w:spacing w:before="0" w:after="20"/>
        <w:jc w:val="center"/>
      </w:pPr>
      <w:r>
        <w:rPr>
          <w:b/>
          <w:bCs/>
          <w:i w:val="false"/>
          <w:iCs w:val="false"/>
          <w:color w:val="1C3A5A"/>
          <w:sz w:val="18"/>
          <w:szCs w:val="18"/>
          <w:rFonts w:ascii="Arial" w:cs="Arial" w:eastAsia="Arial" w:hAnsi="Arial"/>
        </w:rPr>
        <w:t xml:space="preserve">UNIT SYMBOLS — BLUE FORCE</w:t>
      </w:r>
    </w:p>
    <w:p>
      <w:pPr>
        <w:spacing w:before="0" w:after="40"/>
      </w:pPr>
      <w:r>
        <w:t xml:space="preserve"/>
      </w:r>
    </w:p>
    <w:p>
      <w:pPr>
        <w:spacing w:before="0" w:after="40"/>
        <w:jc w:val="center"/>
      </w:pPr>
      <w:r>
        <w:drawing>
          <wp:inline distT="0" distB="0" distL="0" distR="0">
            <wp:extent cx="6057900" cy="7143750"/>
            <wp:effectExtent b="0" l="0" r="0" t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t xml:space="preserve"/>
      </w:r>
    </w:p>
    <w:sectPr>
      <w:headerReference w:type="default" r:id="rId8"/>
      <w:footerReference w:type="default" r:id="rId9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Order of Battle — Task Organization  |  BLUE FORCE  |  15 MAY 2026</w:t>
    </w:r>
  </w:p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Order of Battle — Unit Symbols  |  BLUE FORCE  |  15 MAY 2026</w:t>
    </w:r>
  </w:p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IRON ANVIL II  //  OBJ LION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IRON ANVIL II  //  OBJ LION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qims1tvzsn_esyofzb7wt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2026-05-15T17:26:59.411Z</dcterms:created>
  <dcterms:modified xsi:type="dcterms:W3CDTF">2026-05-15T17:26:59.411Z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