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adsfsdaf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ORDER OF BATTLE — TASK ORGANIZATION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sdafsdaf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fsdaf</w:t>
            </w:r>
          </w:p>
        </w:tc>
      </w:tr>
    </w:tbl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</w:t>
            </w:r>
          </w:p>
        </w:tc>
        <w:tc>
          <w:tcPr>
            <w:tcW w:type="dxa" w:w="44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ME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safd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A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SE1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fsda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SE2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sdfd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safd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sfd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asfd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sdf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A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SE3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sdfa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fsda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fds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asdfa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</w:tbl>
    <w:p>
      <w:pPr>
        <w:spacing w:before="0" w:after="0"/>
      </w:pPr>
      <w:r>
        <w:rPr>
          <w:sz w:val="2"/>
          <w:szCs w:val="2"/>
        </w:rPr>
      </w:r>
    </w:p>
    <w:p>
      <w:pPr>
        <w:sectPr>
          <w:headerReference w:type="default" r:id="rId6"/>
          <w:footerReference w:type="default" r:id="rId7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20" w:after="10"/>
        <w:jc w:val="center"/>
      </w:pPr>
      <w:r>
        <w:rPr>
          <w:b/>
          <w:bCs/>
          <w:i w:val="false"/>
          <w:iCs w:val="false"/>
          <w:color w:val="0F2034"/>
          <w:sz w:val="20"/>
          <w:szCs w:val="20"/>
          <w:rFonts w:ascii="Arial" w:cs="Arial" w:eastAsia="Arial" w:hAnsi="Arial"/>
        </w:rPr>
        <w:t xml:space="preserve">adsfsdaf</w:t>
      </w:r>
    </w:p>
    <w:p>
      <w:pPr>
        <w:pBdr>
          <w:bottom w:val="single" w:color="2A5070" w:sz="4"/>
        </w:pBdr>
        <w:spacing w:before="0" w:after="20"/>
        <w:jc w:val="center"/>
      </w:pPr>
      <w:r>
        <w:rPr>
          <w:b/>
          <w:bCs/>
          <w:i w:val="false"/>
          <w:iCs w:val="false"/>
          <w:color w:val="1C3A5A"/>
          <w:sz w:val="18"/>
          <w:szCs w:val="18"/>
          <w:rFonts w:ascii="Arial" w:cs="Arial" w:eastAsia="Arial" w:hAnsi="Arial"/>
        </w:rPr>
        <w:t xml:space="preserve">UNIT SYMBOLS — BLUE FORCE</w:t>
      </w:r>
    </w:p>
    <w:p>
      <w:pPr>
        <w:spacing w:before="0" w:after="40"/>
      </w:pPr>
      <w:r>
        <w:t xml:space="preserve"/>
      </w:r>
    </w:p>
    <w:p>
      <w:pPr>
        <w:spacing w:before="0" w:after="40"/>
        <w:jc w:val="center"/>
      </w:pPr>
      <w:r>
        <w:drawing>
          <wp:inline distT="0" distB="0" distL="0" distR="0">
            <wp:extent cx="5076825" cy="7143750"/>
            <wp:effectExtent b="0" l="0" r="0" t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sectPr>
      <w:headerReference w:type="default" r:id="rId8"/>
      <w:footerReference w:type="default" r:id="rId9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Task Organization  |  BLUE FORCE  |  fsdaf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Unit Symbols  |  BLUE FORCE  |  fsdaf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adsfsdaf  //  sdafsad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adsfsdaf  //  sdafsad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bdhzzyjbukzek4em7fmm_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2026-05-12T07:39:05.560Z</dcterms:created>
  <dcterms:modified xsi:type="dcterms:W3CDTF">2026-05-12T07:39:05.560Z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