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929BA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CONFIDENTIAL — INTERNAL</w:t>
      </w:r>
    </w:p>
    <w:p w14:paraId="0B6A1762"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BUSINESS CONDUCT MANUAL</w:t>
      </w:r>
    </w:p>
    <w:p w14:paraId="000FC98C"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MARHANA &amp; CO CONSULTING LTD</w:t>
      </w:r>
    </w:p>
    <w:p w14:paraId="78B3A32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i/>
          <w:iCs/>
          <w:kern w:val="0"/>
          <w:lang w:eastAsia="en-GB"/>
          <w14:ligatures w14:val="none"/>
        </w:rPr>
        <w:t>Part A: Anti-Bribery and Corruption Policy · Part B: Conflicts of Interest Policy · Part C: Client Complaints Procedure · Part D: Health and Safety Policy · Part E: Client Onboarding and File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509"/>
      </w:tblGrid>
      <w:tr w:rsidR="00870E6C" w:rsidRPr="00870E6C" w14:paraId="275468F2" w14:textId="77777777">
        <w:trPr>
          <w:tblHeader/>
          <w:tblCellSpacing w:w="15" w:type="dxa"/>
        </w:trPr>
        <w:tc>
          <w:tcPr>
            <w:tcW w:w="0" w:type="auto"/>
            <w:vAlign w:val="center"/>
            <w:hideMark/>
          </w:tcPr>
          <w:p w14:paraId="1E86D7DA"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36138EA7" w14:textId="77777777" w:rsidR="00870E6C" w:rsidRPr="00870E6C" w:rsidRDefault="00870E6C" w:rsidP="00870E6C">
            <w:pPr>
              <w:jc w:val="center"/>
              <w:rPr>
                <w:rFonts w:ascii="Times New Roman" w:eastAsia="Times New Roman" w:hAnsi="Times New Roman" w:cs="Times New Roman"/>
                <w:kern w:val="0"/>
                <w:sz w:val="20"/>
                <w:szCs w:val="20"/>
                <w:lang w:eastAsia="en-GB"/>
                <w14:ligatures w14:val="none"/>
              </w:rPr>
            </w:pPr>
          </w:p>
        </w:tc>
      </w:tr>
      <w:tr w:rsidR="00870E6C" w:rsidRPr="00870E6C" w14:paraId="079A6771" w14:textId="77777777">
        <w:trPr>
          <w:tblCellSpacing w:w="15" w:type="dxa"/>
        </w:trPr>
        <w:tc>
          <w:tcPr>
            <w:tcW w:w="0" w:type="auto"/>
            <w:vAlign w:val="center"/>
            <w:hideMark/>
          </w:tcPr>
          <w:p w14:paraId="6C4AE24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DOCUMENT OWNER</w:t>
            </w:r>
          </w:p>
        </w:tc>
        <w:tc>
          <w:tcPr>
            <w:tcW w:w="0" w:type="auto"/>
            <w:vAlign w:val="center"/>
            <w:hideMark/>
          </w:tcPr>
          <w:p w14:paraId="0FD8B4B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[DOCUMENT OWNER NAME], [DOCUMENT OWNER ROLE]</w:t>
            </w:r>
          </w:p>
        </w:tc>
      </w:tr>
      <w:tr w:rsidR="00870E6C" w:rsidRPr="00870E6C" w14:paraId="473A5EFC" w14:textId="77777777">
        <w:trPr>
          <w:tblCellSpacing w:w="15" w:type="dxa"/>
        </w:trPr>
        <w:tc>
          <w:tcPr>
            <w:tcW w:w="0" w:type="auto"/>
            <w:vAlign w:val="center"/>
            <w:hideMark/>
          </w:tcPr>
          <w:p w14:paraId="497F170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VERSION</w:t>
            </w:r>
          </w:p>
        </w:tc>
        <w:tc>
          <w:tcPr>
            <w:tcW w:w="0" w:type="auto"/>
            <w:vAlign w:val="center"/>
            <w:hideMark/>
          </w:tcPr>
          <w:p w14:paraId="2BA3D54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[VERSION NUMBER]</w:t>
            </w:r>
          </w:p>
        </w:tc>
      </w:tr>
      <w:tr w:rsidR="00870E6C" w:rsidRPr="00870E6C" w14:paraId="1967D01B" w14:textId="77777777">
        <w:trPr>
          <w:tblCellSpacing w:w="15" w:type="dxa"/>
        </w:trPr>
        <w:tc>
          <w:tcPr>
            <w:tcW w:w="0" w:type="auto"/>
            <w:vAlign w:val="center"/>
            <w:hideMark/>
          </w:tcPr>
          <w:p w14:paraId="255AC0F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APPROVED BY</w:t>
            </w:r>
          </w:p>
        </w:tc>
        <w:tc>
          <w:tcPr>
            <w:tcW w:w="0" w:type="auto"/>
            <w:vAlign w:val="center"/>
            <w:hideMark/>
          </w:tcPr>
          <w:p w14:paraId="25AA82C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The Directors on [DATE]</w:t>
            </w:r>
          </w:p>
        </w:tc>
      </w:tr>
      <w:tr w:rsidR="00870E6C" w:rsidRPr="00870E6C" w14:paraId="7D612EA6" w14:textId="77777777">
        <w:trPr>
          <w:tblCellSpacing w:w="15" w:type="dxa"/>
        </w:trPr>
        <w:tc>
          <w:tcPr>
            <w:tcW w:w="0" w:type="auto"/>
            <w:vAlign w:val="center"/>
            <w:hideMark/>
          </w:tcPr>
          <w:p w14:paraId="3EA75E0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NEXT REVIEW DATE</w:t>
            </w:r>
          </w:p>
        </w:tc>
        <w:tc>
          <w:tcPr>
            <w:tcW w:w="0" w:type="auto"/>
            <w:vAlign w:val="center"/>
            <w:hideMark/>
          </w:tcPr>
          <w:p w14:paraId="35CFBBB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[ANNUALLY]</w:t>
            </w:r>
          </w:p>
        </w:tc>
      </w:tr>
      <w:tr w:rsidR="00870E6C" w:rsidRPr="00870E6C" w14:paraId="5FCC5406" w14:textId="77777777">
        <w:trPr>
          <w:tblCellSpacing w:w="15" w:type="dxa"/>
        </w:trPr>
        <w:tc>
          <w:tcPr>
            <w:tcW w:w="0" w:type="auto"/>
            <w:vAlign w:val="center"/>
            <w:hideMark/>
          </w:tcPr>
          <w:p w14:paraId="144787F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APPLIES TO</w:t>
            </w:r>
          </w:p>
        </w:tc>
        <w:tc>
          <w:tcPr>
            <w:tcW w:w="0" w:type="auto"/>
            <w:vAlign w:val="center"/>
            <w:hideMark/>
          </w:tcPr>
          <w:p w14:paraId="1738241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All Directors, employees, Associates, substitutes and introducers</w:t>
            </w:r>
          </w:p>
        </w:tc>
      </w:tr>
    </w:tbl>
    <w:p w14:paraId="3CC05EB2"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3772C98C">
          <v:rect id="_x0000_i1034" alt="" style="width:451.3pt;height:.05pt;mso-width-percent:0;mso-height-percent:0;mso-width-percent:0;mso-height-percent:0" o:hralign="center" o:hrstd="t" o:hr="t" fillcolor="#a0a0a0" stroked="f"/>
        </w:pict>
      </w:r>
    </w:p>
    <w:p w14:paraId="3AFD9773"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25709654">
          <v:rect id="_x0000_i1033" alt="" style="width:451.3pt;height:.05pt;mso-width-percent:0;mso-height-percent:0;mso-width-percent:0;mso-height-percent:0" o:hralign="center" o:hrstd="t" o:hr="t" fillcolor="#a0a0a0" stroked="f"/>
        </w:pict>
      </w:r>
    </w:p>
    <w:p w14:paraId="2DA7E6E1"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PART A — ANTI-BRIBERY AND CORRUPTION POLICY</w:t>
      </w:r>
    </w:p>
    <w:p w14:paraId="1D50FFE3"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A.1 Statement</w:t>
      </w:r>
    </w:p>
    <w:p w14:paraId="4775592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A.1.1 The Company prohibits bribery and corruption in all forms. It conducts business honestly and without improper influence, and will not tolerate any attempt to obtain or retain business, or to obtain any advantage, by improper means.</w:t>
      </w:r>
    </w:p>
    <w:p w14:paraId="7BE9A453"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A.1.2 This Policy is adopted as an "adequate procedure" for the purposes of section 7(2) of the Bribery Act 2010, being the defence available to a commercial organisation charged with failure to prevent bribery. The defence depends on procedures being proportionate, risk-assessed, endorsed at the top, applied through due diligence, communicated, and monitored. A policy which sits unread on a drive is not an adequate procedure.</w:t>
      </w:r>
    </w:p>
    <w:p w14:paraId="4D51F3B8"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A.2 Why the risk is elevated for this business</w:t>
      </w:r>
    </w:p>
    <w:p w14:paraId="5BFFC58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A.2.1 The Company works exclusively on public procurement. Its clients seek the award of public contracts, and the people who decide those awards are public officials.</w:t>
      </w:r>
    </w:p>
    <w:p w14:paraId="7E493377"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A.2.2 The offences at sections 1, 2, 6 and 7 of the Bribery Act 2010 are engaged by conduct which, in a private-sector context, might be dismissed as ordinary relationship building. Section 6 — bribery of a foreign public official — has no requirement of impropriety and no facilitation payment exception.</w:t>
      </w:r>
    </w:p>
    <w:p w14:paraId="5948464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A.2.3 In addition to criminal liability, a bribery conviction is a mandatory exclusion ground under Schedule 6 to the Procurement Act 2023 and would end the Company's ability to work in this market, and its clients' ability to bid.</w:t>
      </w:r>
    </w:p>
    <w:p w14:paraId="44BC065A"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A.3 The rules</w:t>
      </w:r>
    </w:p>
    <w:p w14:paraId="7C4C8342"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A.3.1 No Director, employee, Associate, substitute or introducer shall offer, promise, give, request, agree to receive or accept any financial or other advantage intended to induce or reward the improper performance of any function, or where acceptance would itself be improper.</w:t>
      </w:r>
    </w:p>
    <w:p w14:paraId="1E546FA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A.3.2 </w:t>
      </w:r>
      <w:r w:rsidRPr="00870E6C">
        <w:rPr>
          <w:rFonts w:ascii="Times New Roman" w:eastAsia="Times New Roman" w:hAnsi="Times New Roman" w:cs="Times New Roman"/>
          <w:b/>
          <w:bCs/>
          <w:kern w:val="0"/>
          <w:lang w:eastAsia="en-GB"/>
          <w14:ligatures w14:val="none"/>
        </w:rPr>
        <w:t>Absolute prohibitions.</w:t>
      </w:r>
      <w:r w:rsidRPr="00870E6C">
        <w:rPr>
          <w:rFonts w:ascii="Times New Roman" w:eastAsia="Times New Roman" w:hAnsi="Times New Roman" w:cs="Times New Roman"/>
          <w:kern w:val="0"/>
          <w:lang w:eastAsia="en-GB"/>
          <w14:ligatures w14:val="none"/>
        </w:rPr>
        <w:t xml:space="preserve"> The following are prohibited without exception:</w:t>
      </w:r>
    </w:p>
    <w:p w14:paraId="284BB96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A.3.2.1 any payment, gift, hospitality or benefit of any value to any officer, employee, evaluator, adviser or elected member of a contracting authority, or to any person connected with them;</w:t>
      </w:r>
    </w:p>
    <w:p w14:paraId="7C1366B2"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A.3.2.2 any facilitation payment, however small and however described, and whether or not customary in the jurisdiction concerned;</w:t>
      </w:r>
    </w:p>
    <w:p w14:paraId="0F57BE2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A.3.2.3 any payment or benefit to obtain tender information not made generally available to all tenderers, and any attempt to obtain such information;</w:t>
      </w:r>
    </w:p>
    <w:p w14:paraId="342722B5"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A.3.2.4 any political donation made by or on behalf of the Company;</w:t>
      </w:r>
    </w:p>
    <w:p w14:paraId="5C6B3E3D"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A.3.2.5 any introducer fee payable to a person connected with a contracting authority, or to any person in a position to influence an award;</w:t>
      </w:r>
    </w:p>
    <w:p w14:paraId="193F84C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A.3.2.6 any arrangement with a competing tenderer as to price, coverage or bid content, which would additionally constitute bid rigging under the Competition Act 1998 and a criminal cartel offence under the Enterprise Act 2002; and</w:t>
      </w:r>
    </w:p>
    <w:p w14:paraId="34D4846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A.3.2.7 any payment made through an intermediary which could not lawfully be made directly.</w:t>
      </w:r>
    </w:p>
    <w:p w14:paraId="57E753C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A.3.3 </w:t>
      </w:r>
      <w:r w:rsidRPr="00870E6C">
        <w:rPr>
          <w:rFonts w:ascii="Times New Roman" w:eastAsia="Times New Roman" w:hAnsi="Times New Roman" w:cs="Times New Roman"/>
          <w:b/>
          <w:bCs/>
          <w:kern w:val="0"/>
          <w:lang w:eastAsia="en-GB"/>
          <w14:ligatures w14:val="none"/>
        </w:rPr>
        <w:t>Gifts and hospitality.</w:t>
      </w:r>
      <w:r w:rsidRPr="00870E6C">
        <w:rPr>
          <w:rFonts w:ascii="Times New Roman" w:eastAsia="Times New Roman" w:hAnsi="Times New Roman" w:cs="Times New Roman"/>
          <w:kern w:val="0"/>
          <w:lang w:eastAsia="en-GB"/>
          <w14:ligatures w14:val="none"/>
        </w:rPr>
        <w:t xml:space="preserve"> Corporate hospitality that is reasonable, proportionate and given in good faith to build a normal commercial relationship is not prohibited. However:</w:t>
      </w:r>
    </w:p>
    <w:p w14:paraId="6085F1A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A.3.3.1 nothing may be given to or received from anyone connected with a contracting authority, at any value, at any time;</w:t>
      </w:r>
    </w:p>
    <w:p w14:paraId="0D937C6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A.3.3.2 nothing may be given to or received from a client or prospective client during a live tender or evaluation period;</w:t>
      </w:r>
    </w:p>
    <w:p w14:paraId="6E17C61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A.3.3.3 anything given or received with a value exceeding £[THRESHOLD — DEFAULT 50] requires the prior approval of the Founder and must be recorded in the register at Annex A.1;</w:t>
      </w:r>
    </w:p>
    <w:p w14:paraId="21166DC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A.3.3.4 cash and cash equivalents (including vouchers) may never be given or received in any amount; and</w:t>
      </w:r>
    </w:p>
    <w:p w14:paraId="747EC2B5"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A.3.3.5 anything given must be transparent, capable of being disclosed publicly without embarrassment, and never conditional on any outcome.</w:t>
      </w:r>
    </w:p>
    <w:p w14:paraId="3E00A24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A.3.4 </w:t>
      </w:r>
      <w:r w:rsidRPr="00870E6C">
        <w:rPr>
          <w:rFonts w:ascii="Times New Roman" w:eastAsia="Times New Roman" w:hAnsi="Times New Roman" w:cs="Times New Roman"/>
          <w:b/>
          <w:bCs/>
          <w:kern w:val="0"/>
          <w:lang w:eastAsia="en-GB"/>
          <w14:ligatures w14:val="none"/>
        </w:rPr>
        <w:t>Charitable donations.</w:t>
      </w:r>
      <w:r w:rsidRPr="00870E6C">
        <w:rPr>
          <w:rFonts w:ascii="Times New Roman" w:eastAsia="Times New Roman" w:hAnsi="Times New Roman" w:cs="Times New Roman"/>
          <w:kern w:val="0"/>
          <w:lang w:eastAsia="en-GB"/>
          <w14:ligatures w14:val="none"/>
        </w:rPr>
        <w:t xml:space="preserve"> Donations made under the Charity Lock in the Shareholders' and Directors' Agreement are recorded in the register at Annex A.1. No donation may be made to a charity nominated by, or connected with, a client, prospective client or contracting authority.</w:t>
      </w:r>
    </w:p>
    <w:p w14:paraId="395E2F52"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A.3.5 </w:t>
      </w:r>
      <w:r w:rsidRPr="00870E6C">
        <w:rPr>
          <w:rFonts w:ascii="Times New Roman" w:eastAsia="Times New Roman" w:hAnsi="Times New Roman" w:cs="Times New Roman"/>
          <w:b/>
          <w:bCs/>
          <w:kern w:val="0"/>
          <w:lang w:eastAsia="en-GB"/>
          <w14:ligatures w14:val="none"/>
        </w:rPr>
        <w:t>Reporting.</w:t>
      </w:r>
      <w:r w:rsidRPr="00870E6C">
        <w:rPr>
          <w:rFonts w:ascii="Times New Roman" w:eastAsia="Times New Roman" w:hAnsi="Times New Roman" w:cs="Times New Roman"/>
          <w:kern w:val="0"/>
          <w:lang w:eastAsia="en-GB"/>
          <w14:ligatures w14:val="none"/>
        </w:rPr>
        <w:t xml:space="preserve"> Any person who is offered a bribe, is asked to give one, suspects that one has been given or requested, or is uncertain whether conduct is permitted, must report it to the Founder immediately. Where the concern relates to the Founder, it is reported to the other two Directors jointly.</w:t>
      </w:r>
    </w:p>
    <w:p w14:paraId="6D4A3919"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A.3.6 </w:t>
      </w:r>
      <w:r w:rsidRPr="00870E6C">
        <w:rPr>
          <w:rFonts w:ascii="Times New Roman" w:eastAsia="Times New Roman" w:hAnsi="Times New Roman" w:cs="Times New Roman"/>
          <w:b/>
          <w:bCs/>
          <w:kern w:val="0"/>
          <w:lang w:eastAsia="en-GB"/>
          <w14:ligatures w14:val="none"/>
        </w:rPr>
        <w:t>Protection for the reporter.</w:t>
      </w:r>
      <w:r w:rsidRPr="00870E6C">
        <w:rPr>
          <w:rFonts w:ascii="Times New Roman" w:eastAsia="Times New Roman" w:hAnsi="Times New Roman" w:cs="Times New Roman"/>
          <w:kern w:val="0"/>
          <w:lang w:eastAsia="en-GB"/>
          <w14:ligatures w14:val="none"/>
        </w:rPr>
        <w:t xml:space="preserve"> No person will suffer detriment, loss of engagement or reduction in Profit Share for refusing to pay or accept a bribe, or for reporting a concern in good faith, even if the concern proves unfounded. Retaliation is itself a disciplinary matter and, in the case of a Director, a material breach of the Shareholders' and Directors' Agreement. A person making a qualifying disclosure may also have statutory protection under the Public Interest Disclosure Act 1998.</w:t>
      </w:r>
    </w:p>
    <w:p w14:paraId="537D6BE4"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A.4 Due diligence and communication</w:t>
      </w:r>
    </w:p>
    <w:p w14:paraId="0DA0F4C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A.4.1 Anti-bribery obligations are imposed contractually on every Associate (Associate Agreement, clause 14) and every introducer (Introducer Agreement, clause 5.4).</w:t>
      </w:r>
    </w:p>
    <w:p w14:paraId="72DA4B4E"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A.4.2 Every Associate and introducer receives this Policy and confirms receipt in writing before their first engagement.</w:t>
      </w:r>
    </w:p>
    <w:p w14:paraId="3B87DC35"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A.4.3 The clause prohibiting the Company from procuring or misusing non-public tender information appears in the client Terms of Engagement at paragraph L.7.2 and is drawn to clients' attention at onboarding.</w:t>
      </w:r>
    </w:p>
    <w:p w14:paraId="6617B43E"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A.4.4 The risk assessment at Annex A.2 is reviewed annually and on entry into any new sector, service line or jurisdiction.</w:t>
      </w:r>
    </w:p>
    <w:p w14:paraId="366AAA4E"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A.5 Monitoring</w:t>
      </w:r>
    </w:p>
    <w:p w14:paraId="35144EE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A.5.1 The register at Annex A.1 is reviewed by the Directors at each monthly meeting.</w:t>
      </w:r>
    </w:p>
    <w:p w14:paraId="6722A75D"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A.5.2 Compliance with this Policy is a standing agenda item at the monthly meeting required by clause 8.6 of the Shareholders' and Directors' Agreement.</w:t>
      </w:r>
    </w:p>
    <w:p w14:paraId="377B7945"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A.1 — GIFTS, HOSPITALITY AND DONATIONS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435"/>
        <w:gridCol w:w="772"/>
        <w:gridCol w:w="997"/>
        <w:gridCol w:w="870"/>
        <w:gridCol w:w="1199"/>
        <w:gridCol w:w="1199"/>
        <w:gridCol w:w="862"/>
        <w:gridCol w:w="713"/>
        <w:gridCol w:w="810"/>
        <w:gridCol w:w="825"/>
      </w:tblGrid>
      <w:tr w:rsidR="00870E6C" w:rsidRPr="00870E6C" w14:paraId="646D36D0" w14:textId="77777777">
        <w:trPr>
          <w:tblHeader/>
          <w:tblCellSpacing w:w="15" w:type="dxa"/>
        </w:trPr>
        <w:tc>
          <w:tcPr>
            <w:tcW w:w="0" w:type="auto"/>
            <w:vAlign w:val="center"/>
            <w:hideMark/>
          </w:tcPr>
          <w:p w14:paraId="16E827C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634AE3B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w:t>
            </w:r>
          </w:p>
        </w:tc>
        <w:tc>
          <w:tcPr>
            <w:tcW w:w="0" w:type="auto"/>
            <w:vAlign w:val="center"/>
            <w:hideMark/>
          </w:tcPr>
          <w:p w14:paraId="4B0EEF4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GIVEN / RECEIVED</w:t>
            </w:r>
          </w:p>
        </w:tc>
        <w:tc>
          <w:tcPr>
            <w:tcW w:w="0" w:type="auto"/>
            <w:vAlign w:val="center"/>
            <w:hideMark/>
          </w:tcPr>
          <w:p w14:paraId="16FF0E3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DESCRIPTION</w:t>
            </w:r>
          </w:p>
        </w:tc>
        <w:tc>
          <w:tcPr>
            <w:tcW w:w="0" w:type="auto"/>
            <w:vAlign w:val="center"/>
            <w:hideMark/>
          </w:tcPr>
          <w:p w14:paraId="51D0A15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ESTIMATED VALUE</w:t>
            </w:r>
          </w:p>
        </w:tc>
        <w:tc>
          <w:tcPr>
            <w:tcW w:w="0" w:type="auto"/>
            <w:vAlign w:val="center"/>
            <w:hideMark/>
          </w:tcPr>
          <w:p w14:paraId="4BC9F57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COUNTERPARTY AND ORGANISATION</w:t>
            </w:r>
          </w:p>
        </w:tc>
        <w:tc>
          <w:tcPr>
            <w:tcW w:w="0" w:type="auto"/>
            <w:vAlign w:val="center"/>
            <w:hideMark/>
          </w:tcPr>
          <w:p w14:paraId="1DD9FFC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IS COUNTERPARTY A PUBLIC OFFICIAL?</w:t>
            </w:r>
          </w:p>
        </w:tc>
        <w:tc>
          <w:tcPr>
            <w:tcW w:w="0" w:type="auto"/>
            <w:vAlign w:val="center"/>
            <w:hideMark/>
          </w:tcPr>
          <w:p w14:paraId="4F35C48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LIVE TENDER IN PROGRESS?</w:t>
            </w:r>
          </w:p>
        </w:tc>
        <w:tc>
          <w:tcPr>
            <w:tcW w:w="0" w:type="auto"/>
            <w:vAlign w:val="center"/>
            <w:hideMark/>
          </w:tcPr>
          <w:p w14:paraId="5CC0CC46"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BUSINESS REASON</w:t>
            </w:r>
          </w:p>
        </w:tc>
        <w:tc>
          <w:tcPr>
            <w:tcW w:w="0" w:type="auto"/>
            <w:vAlign w:val="center"/>
            <w:hideMark/>
          </w:tcPr>
          <w:p w14:paraId="6B698ED7"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APPROVED BY</w:t>
            </w:r>
          </w:p>
        </w:tc>
        <w:tc>
          <w:tcPr>
            <w:tcW w:w="0" w:type="auto"/>
            <w:vAlign w:val="center"/>
            <w:hideMark/>
          </w:tcPr>
          <w:p w14:paraId="4B99C025"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 APPROVED</w:t>
            </w:r>
          </w:p>
        </w:tc>
      </w:tr>
      <w:tr w:rsidR="00870E6C" w:rsidRPr="00870E6C" w14:paraId="65DC3A82" w14:textId="77777777">
        <w:trPr>
          <w:tblCellSpacing w:w="15" w:type="dxa"/>
        </w:trPr>
        <w:tc>
          <w:tcPr>
            <w:tcW w:w="0" w:type="auto"/>
            <w:vAlign w:val="center"/>
            <w:hideMark/>
          </w:tcPr>
          <w:p w14:paraId="4CDCAE9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4921C4D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F88857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37492D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4A3180C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825D06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0DB9845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[YES — PROHIBITED / NO]</w:t>
            </w:r>
          </w:p>
        </w:tc>
        <w:tc>
          <w:tcPr>
            <w:tcW w:w="0" w:type="auto"/>
            <w:vAlign w:val="center"/>
            <w:hideMark/>
          </w:tcPr>
          <w:p w14:paraId="2116036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[YES — PROHIBITED / NO]</w:t>
            </w:r>
          </w:p>
        </w:tc>
        <w:tc>
          <w:tcPr>
            <w:tcW w:w="0" w:type="auto"/>
            <w:vAlign w:val="center"/>
            <w:hideMark/>
          </w:tcPr>
          <w:p w14:paraId="648D301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177A48C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4947E2F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4CBD805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i/>
          <w:iCs/>
          <w:kern w:val="0"/>
          <w:lang w:eastAsia="en-GB"/>
          <w14:ligatures w14:val="none"/>
        </w:rPr>
        <w:t>A "nil return" entry is made at each month end where nothing has been given or received. An empty register with no nil returns is indistinguishable from an unmaintained one.</w:t>
      </w:r>
    </w:p>
    <w:p w14:paraId="1CF07D44"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A.2 — BRIBERY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22"/>
        <w:gridCol w:w="1648"/>
        <w:gridCol w:w="1396"/>
        <w:gridCol w:w="2384"/>
        <w:gridCol w:w="1367"/>
      </w:tblGrid>
      <w:tr w:rsidR="00870E6C" w:rsidRPr="00870E6C" w14:paraId="76526FFB" w14:textId="77777777">
        <w:trPr>
          <w:tblHeader/>
          <w:tblCellSpacing w:w="15" w:type="dxa"/>
        </w:trPr>
        <w:tc>
          <w:tcPr>
            <w:tcW w:w="0" w:type="auto"/>
            <w:vAlign w:val="center"/>
            <w:hideMark/>
          </w:tcPr>
          <w:p w14:paraId="51026B60"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64DE1B4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RISK</w:t>
            </w:r>
          </w:p>
        </w:tc>
        <w:tc>
          <w:tcPr>
            <w:tcW w:w="0" w:type="auto"/>
            <w:vAlign w:val="center"/>
            <w:hideMark/>
          </w:tcPr>
          <w:p w14:paraId="37C8CDEE"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LIKELIHOOD</w:t>
            </w:r>
          </w:p>
        </w:tc>
        <w:tc>
          <w:tcPr>
            <w:tcW w:w="0" w:type="auto"/>
            <w:vAlign w:val="center"/>
            <w:hideMark/>
          </w:tcPr>
          <w:p w14:paraId="2D90EF37"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IMPACT</w:t>
            </w:r>
          </w:p>
        </w:tc>
        <w:tc>
          <w:tcPr>
            <w:tcW w:w="0" w:type="auto"/>
            <w:vAlign w:val="center"/>
            <w:hideMark/>
          </w:tcPr>
          <w:p w14:paraId="2C35DCF6"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CONTROL</w:t>
            </w:r>
          </w:p>
        </w:tc>
        <w:tc>
          <w:tcPr>
            <w:tcW w:w="0" w:type="auto"/>
            <w:vAlign w:val="center"/>
            <w:hideMark/>
          </w:tcPr>
          <w:p w14:paraId="296A83E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RESIDUAL RISK</w:t>
            </w:r>
          </w:p>
        </w:tc>
      </w:tr>
      <w:tr w:rsidR="00870E6C" w:rsidRPr="00870E6C" w14:paraId="0B3A9611" w14:textId="77777777">
        <w:trPr>
          <w:tblCellSpacing w:w="15" w:type="dxa"/>
        </w:trPr>
        <w:tc>
          <w:tcPr>
            <w:tcW w:w="0" w:type="auto"/>
            <w:vAlign w:val="center"/>
            <w:hideMark/>
          </w:tcPr>
          <w:p w14:paraId="539EEC3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A.2.1</w:t>
            </w:r>
          </w:p>
        </w:tc>
        <w:tc>
          <w:tcPr>
            <w:tcW w:w="0" w:type="auto"/>
            <w:vAlign w:val="center"/>
            <w:hideMark/>
          </w:tcPr>
          <w:p w14:paraId="12D7DEF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Client asks the Company to obtain non-public tender information</w:t>
            </w:r>
          </w:p>
        </w:tc>
        <w:tc>
          <w:tcPr>
            <w:tcW w:w="0" w:type="auto"/>
            <w:vAlign w:val="center"/>
            <w:hideMark/>
          </w:tcPr>
          <w:p w14:paraId="7E91179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1F43241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Severe — criminal, exclusion</w:t>
            </w:r>
          </w:p>
        </w:tc>
        <w:tc>
          <w:tcPr>
            <w:tcW w:w="0" w:type="auto"/>
            <w:vAlign w:val="center"/>
            <w:hideMark/>
          </w:tcPr>
          <w:p w14:paraId="6DCB982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Terms of Engagement L.7.2; right to terminate at K.5.3; escalate to Founder</w:t>
            </w:r>
          </w:p>
        </w:tc>
        <w:tc>
          <w:tcPr>
            <w:tcW w:w="0" w:type="auto"/>
            <w:vAlign w:val="center"/>
            <w:hideMark/>
          </w:tcPr>
          <w:p w14:paraId="3698492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0F3E5FBF" w14:textId="77777777">
        <w:trPr>
          <w:tblCellSpacing w:w="15" w:type="dxa"/>
        </w:trPr>
        <w:tc>
          <w:tcPr>
            <w:tcW w:w="0" w:type="auto"/>
            <w:vAlign w:val="center"/>
            <w:hideMark/>
          </w:tcPr>
          <w:p w14:paraId="619BAF3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A.2.2</w:t>
            </w:r>
          </w:p>
        </w:tc>
        <w:tc>
          <w:tcPr>
            <w:tcW w:w="0" w:type="auto"/>
            <w:vAlign w:val="center"/>
            <w:hideMark/>
          </w:tcPr>
          <w:p w14:paraId="2C9CBA4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Client asks the Company to include a false declaration</w:t>
            </w:r>
          </w:p>
        </w:tc>
        <w:tc>
          <w:tcPr>
            <w:tcW w:w="0" w:type="auto"/>
            <w:vAlign w:val="center"/>
            <w:hideMark/>
          </w:tcPr>
          <w:p w14:paraId="13A3EB1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127EF0B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Severe — fraud, client debarment</w:t>
            </w:r>
          </w:p>
        </w:tc>
        <w:tc>
          <w:tcPr>
            <w:tcW w:w="0" w:type="auto"/>
            <w:vAlign w:val="center"/>
            <w:hideMark/>
          </w:tcPr>
          <w:p w14:paraId="2AE5F6D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Associate Agreement 4.3.9; termination right at K.5.2; Client indemnity at C.3</w:t>
            </w:r>
          </w:p>
        </w:tc>
        <w:tc>
          <w:tcPr>
            <w:tcW w:w="0" w:type="auto"/>
            <w:vAlign w:val="center"/>
            <w:hideMark/>
          </w:tcPr>
          <w:p w14:paraId="533ABBA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6B5B9A7A" w14:textId="77777777">
        <w:trPr>
          <w:tblCellSpacing w:w="15" w:type="dxa"/>
        </w:trPr>
        <w:tc>
          <w:tcPr>
            <w:tcW w:w="0" w:type="auto"/>
            <w:vAlign w:val="center"/>
            <w:hideMark/>
          </w:tcPr>
          <w:p w14:paraId="66EBE6F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A.2.3</w:t>
            </w:r>
          </w:p>
        </w:tc>
        <w:tc>
          <w:tcPr>
            <w:tcW w:w="0" w:type="auto"/>
            <w:vAlign w:val="center"/>
            <w:hideMark/>
          </w:tcPr>
          <w:p w14:paraId="0307B37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Introducer with a connection to an authority</w:t>
            </w:r>
          </w:p>
        </w:tc>
        <w:tc>
          <w:tcPr>
            <w:tcW w:w="0" w:type="auto"/>
            <w:vAlign w:val="center"/>
            <w:hideMark/>
          </w:tcPr>
          <w:p w14:paraId="597CEF7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28FB7F2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Severe</w:t>
            </w:r>
          </w:p>
        </w:tc>
        <w:tc>
          <w:tcPr>
            <w:tcW w:w="0" w:type="auto"/>
            <w:vAlign w:val="center"/>
            <w:hideMark/>
          </w:tcPr>
          <w:p w14:paraId="5349BA4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Introducer Agreement 5.4; disclosure requirement at 3.1</w:t>
            </w:r>
          </w:p>
        </w:tc>
        <w:tc>
          <w:tcPr>
            <w:tcW w:w="0" w:type="auto"/>
            <w:vAlign w:val="center"/>
            <w:hideMark/>
          </w:tcPr>
          <w:p w14:paraId="4E7B4D9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511CA3D6" w14:textId="77777777">
        <w:trPr>
          <w:tblCellSpacing w:w="15" w:type="dxa"/>
        </w:trPr>
        <w:tc>
          <w:tcPr>
            <w:tcW w:w="0" w:type="auto"/>
            <w:vAlign w:val="center"/>
            <w:hideMark/>
          </w:tcPr>
          <w:p w14:paraId="34421C4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A.2.4</w:t>
            </w:r>
          </w:p>
        </w:tc>
        <w:tc>
          <w:tcPr>
            <w:tcW w:w="0" w:type="auto"/>
            <w:vAlign w:val="center"/>
            <w:hideMark/>
          </w:tcPr>
          <w:p w14:paraId="6742ACA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Associate offers a benefit to an authority contact</w:t>
            </w:r>
          </w:p>
        </w:tc>
        <w:tc>
          <w:tcPr>
            <w:tcW w:w="0" w:type="auto"/>
            <w:vAlign w:val="center"/>
            <w:hideMark/>
          </w:tcPr>
          <w:p w14:paraId="03E7322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577AE83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Severe — section 7 liability</w:t>
            </w:r>
          </w:p>
        </w:tc>
        <w:tc>
          <w:tcPr>
            <w:tcW w:w="0" w:type="auto"/>
            <w:vAlign w:val="center"/>
            <w:hideMark/>
          </w:tcPr>
          <w:p w14:paraId="212A6F3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Associate Agreement 14; policy acknowledgement; conflict disclosure</w:t>
            </w:r>
          </w:p>
        </w:tc>
        <w:tc>
          <w:tcPr>
            <w:tcW w:w="0" w:type="auto"/>
            <w:vAlign w:val="center"/>
            <w:hideMark/>
          </w:tcPr>
          <w:p w14:paraId="73F9CC3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18CBF38C" w14:textId="77777777">
        <w:trPr>
          <w:tblCellSpacing w:w="15" w:type="dxa"/>
        </w:trPr>
        <w:tc>
          <w:tcPr>
            <w:tcW w:w="0" w:type="auto"/>
            <w:vAlign w:val="center"/>
            <w:hideMark/>
          </w:tcPr>
          <w:p w14:paraId="52C62F9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A.2.5</w:t>
            </w:r>
          </w:p>
        </w:tc>
        <w:tc>
          <w:tcPr>
            <w:tcW w:w="0" w:type="auto"/>
            <w:vAlign w:val="center"/>
            <w:hideMark/>
          </w:tcPr>
          <w:p w14:paraId="181DA94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Hospitality during a live evaluation</w:t>
            </w:r>
          </w:p>
        </w:tc>
        <w:tc>
          <w:tcPr>
            <w:tcW w:w="0" w:type="auto"/>
            <w:vAlign w:val="center"/>
            <w:hideMark/>
          </w:tcPr>
          <w:p w14:paraId="44F4ADD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79BDD3C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High</w:t>
            </w:r>
          </w:p>
        </w:tc>
        <w:tc>
          <w:tcPr>
            <w:tcW w:w="0" w:type="auto"/>
            <w:vAlign w:val="center"/>
            <w:hideMark/>
          </w:tcPr>
          <w:p w14:paraId="0272DF8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A.3.3.2 absolute prohibition; register</w:t>
            </w:r>
          </w:p>
        </w:tc>
        <w:tc>
          <w:tcPr>
            <w:tcW w:w="0" w:type="auto"/>
            <w:vAlign w:val="center"/>
            <w:hideMark/>
          </w:tcPr>
          <w:p w14:paraId="0BF6DEB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4D7BE071" w14:textId="77777777">
        <w:trPr>
          <w:tblCellSpacing w:w="15" w:type="dxa"/>
        </w:trPr>
        <w:tc>
          <w:tcPr>
            <w:tcW w:w="0" w:type="auto"/>
            <w:vAlign w:val="center"/>
            <w:hideMark/>
          </w:tcPr>
          <w:p w14:paraId="634B082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A.2.6</w:t>
            </w:r>
          </w:p>
        </w:tc>
        <w:tc>
          <w:tcPr>
            <w:tcW w:w="0" w:type="auto"/>
            <w:vAlign w:val="center"/>
            <w:hideMark/>
          </w:tcPr>
          <w:p w14:paraId="5083D97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Consortium members agreeing bid conduct with competitors</w:t>
            </w:r>
          </w:p>
        </w:tc>
        <w:tc>
          <w:tcPr>
            <w:tcW w:w="0" w:type="auto"/>
            <w:vAlign w:val="center"/>
            <w:hideMark/>
          </w:tcPr>
          <w:p w14:paraId="6D3B0CB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0D648C5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Severe — cartel offence</w:t>
            </w:r>
          </w:p>
        </w:tc>
        <w:tc>
          <w:tcPr>
            <w:tcW w:w="0" w:type="auto"/>
            <w:vAlign w:val="center"/>
            <w:hideMark/>
          </w:tcPr>
          <w:p w14:paraId="6568019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Consortium Terms C.2.4 exclusion; refer to independent legal advice</w:t>
            </w:r>
          </w:p>
        </w:tc>
        <w:tc>
          <w:tcPr>
            <w:tcW w:w="0" w:type="auto"/>
            <w:vAlign w:val="center"/>
            <w:hideMark/>
          </w:tcPr>
          <w:p w14:paraId="621151C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23AB82BA" w14:textId="77777777">
        <w:trPr>
          <w:tblCellSpacing w:w="15" w:type="dxa"/>
        </w:trPr>
        <w:tc>
          <w:tcPr>
            <w:tcW w:w="0" w:type="auto"/>
            <w:vAlign w:val="center"/>
            <w:hideMark/>
          </w:tcPr>
          <w:p w14:paraId="245E270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A.2.7</w:t>
            </w:r>
          </w:p>
        </w:tc>
        <w:tc>
          <w:tcPr>
            <w:tcW w:w="0" w:type="auto"/>
            <w:vAlign w:val="center"/>
            <w:hideMark/>
          </w:tcPr>
          <w:p w14:paraId="4B0BA7B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Referral fee not disclosed to the </w:t>
            </w:r>
            <w:r w:rsidRPr="00870E6C">
              <w:rPr>
                <w:rFonts w:ascii="Times New Roman" w:eastAsia="Times New Roman" w:hAnsi="Times New Roman" w:cs="Times New Roman"/>
                <w:kern w:val="0"/>
                <w:lang w:eastAsia="en-GB"/>
                <w14:ligatures w14:val="none"/>
              </w:rPr>
              <w:lastRenderedPageBreak/>
              <w:t>introduced client</w:t>
            </w:r>
          </w:p>
        </w:tc>
        <w:tc>
          <w:tcPr>
            <w:tcW w:w="0" w:type="auto"/>
            <w:vAlign w:val="center"/>
            <w:hideMark/>
          </w:tcPr>
          <w:p w14:paraId="192EA4A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[L/M/H]</w:t>
            </w:r>
          </w:p>
        </w:tc>
        <w:tc>
          <w:tcPr>
            <w:tcW w:w="0" w:type="auto"/>
            <w:vAlign w:val="center"/>
            <w:hideMark/>
          </w:tcPr>
          <w:p w14:paraId="2D6E52F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Moderate — professional rules</w:t>
            </w:r>
          </w:p>
        </w:tc>
        <w:tc>
          <w:tcPr>
            <w:tcW w:w="0" w:type="auto"/>
            <w:vAlign w:val="center"/>
            <w:hideMark/>
          </w:tcPr>
          <w:p w14:paraId="7C72649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Introducer Agreement 5.1 and 5.2</w:t>
            </w:r>
          </w:p>
        </w:tc>
        <w:tc>
          <w:tcPr>
            <w:tcW w:w="0" w:type="auto"/>
            <w:vAlign w:val="center"/>
            <w:hideMark/>
          </w:tcPr>
          <w:p w14:paraId="4B8AB76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r w:rsidR="00870E6C" w:rsidRPr="00870E6C" w14:paraId="0229B75A" w14:textId="77777777">
        <w:trPr>
          <w:tblCellSpacing w:w="15" w:type="dxa"/>
        </w:trPr>
        <w:tc>
          <w:tcPr>
            <w:tcW w:w="0" w:type="auto"/>
            <w:vAlign w:val="center"/>
            <w:hideMark/>
          </w:tcPr>
          <w:p w14:paraId="05C2E0E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A.2.8</w:t>
            </w:r>
          </w:p>
        </w:tc>
        <w:tc>
          <w:tcPr>
            <w:tcW w:w="0" w:type="auto"/>
            <w:vAlign w:val="center"/>
            <w:hideMark/>
          </w:tcPr>
          <w:p w14:paraId="203AD4C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Future regulated (mortgage) activity introducing commission risk</w:t>
            </w:r>
          </w:p>
        </w:tc>
        <w:tc>
          <w:tcPr>
            <w:tcW w:w="0" w:type="auto"/>
            <w:vAlign w:val="center"/>
            <w:hideMark/>
          </w:tcPr>
          <w:p w14:paraId="0C01045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[L/M/H]</w:t>
            </w:r>
          </w:p>
        </w:tc>
        <w:tc>
          <w:tcPr>
            <w:tcW w:w="0" w:type="auto"/>
            <w:vAlign w:val="center"/>
            <w:hideMark/>
          </w:tcPr>
          <w:p w14:paraId="1E0FA29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High</w:t>
            </w:r>
          </w:p>
        </w:tc>
        <w:tc>
          <w:tcPr>
            <w:tcW w:w="0" w:type="auto"/>
            <w:vAlign w:val="center"/>
            <w:hideMark/>
          </w:tcPr>
          <w:p w14:paraId="58DC7A4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Conditions precedent at SHA clause 15; reassess this Policy before any regulated work</w:t>
            </w:r>
          </w:p>
        </w:tc>
        <w:tc>
          <w:tcPr>
            <w:tcW w:w="0" w:type="auto"/>
            <w:vAlign w:val="center"/>
            <w:hideMark/>
          </w:tcPr>
          <w:p w14:paraId="1D4BDB5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156BB404"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2248C4B9">
          <v:rect id="_x0000_i1032" alt="" style="width:451.3pt;height:.05pt;mso-width-percent:0;mso-height-percent:0;mso-width-percent:0;mso-height-percent:0" o:hralign="center" o:hrstd="t" o:hr="t" fillcolor="#a0a0a0" stroked="f"/>
        </w:pict>
      </w:r>
    </w:p>
    <w:p w14:paraId="5FE5B965"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0E021488">
          <v:rect id="_x0000_i1031" style="width:0;height:1.5pt" o:hralign="center" o:hrstd="t" o:hr="t" fillcolor="#a0a0a0" stroked="f"/>
        </w:pict>
      </w:r>
    </w:p>
    <w:p w14:paraId="0B065487"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PART B — CONFLICTS OF INTEREST POLICY</w:t>
      </w:r>
    </w:p>
    <w:p w14:paraId="0CE563B0"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B.1 Purpose</w:t>
      </w:r>
    </w:p>
    <w:p w14:paraId="572E039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B.1.1 The Company's core commercial promise is that it will not be on both sides of a competition. A conflict handled badly destroys the relationship and may expose the Company to a claim; a conflict handled openly and early rarely does either.</w:t>
      </w:r>
    </w:p>
    <w:p w14:paraId="1B4CC1F3"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B.2 What constitutes a conflict</w:t>
      </w:r>
    </w:p>
    <w:p w14:paraId="6AB9580C"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B.2.1 </w:t>
      </w:r>
      <w:r w:rsidRPr="00870E6C">
        <w:rPr>
          <w:rFonts w:ascii="Times New Roman" w:eastAsia="Times New Roman" w:hAnsi="Times New Roman" w:cs="Times New Roman"/>
          <w:b/>
          <w:bCs/>
          <w:kern w:val="0"/>
          <w:lang w:eastAsia="en-GB"/>
          <w14:ligatures w14:val="none"/>
        </w:rPr>
        <w:t>Absolute conflict — the Company cannot act.</w:t>
      </w:r>
      <w:r w:rsidRPr="00870E6C">
        <w:rPr>
          <w:rFonts w:ascii="Times New Roman" w:eastAsia="Times New Roman" w:hAnsi="Times New Roman" w:cs="Times New Roman"/>
          <w:kern w:val="0"/>
          <w:lang w:eastAsia="en-GB"/>
          <w14:ligatures w14:val="none"/>
        </w:rPr>
        <w:t xml:space="preserve"> Acting for two or more clients competing for the same lot of the same opportunity. This is prohibited by paragraph J.1 of the Terms of Engagement and cannot be cured by consent or by information barriers.</w:t>
      </w:r>
    </w:p>
    <w:p w14:paraId="6373BD3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B.2.2 </w:t>
      </w:r>
      <w:r w:rsidRPr="00870E6C">
        <w:rPr>
          <w:rFonts w:ascii="Times New Roman" w:eastAsia="Times New Roman" w:hAnsi="Times New Roman" w:cs="Times New Roman"/>
          <w:b/>
          <w:bCs/>
          <w:kern w:val="0"/>
          <w:lang w:eastAsia="en-GB"/>
          <w14:ligatures w14:val="none"/>
        </w:rPr>
        <w:t>Conflicts requiring disclosure and management.</w:t>
      </w:r>
      <w:r w:rsidRPr="00870E6C">
        <w:rPr>
          <w:rFonts w:ascii="Times New Roman" w:eastAsia="Times New Roman" w:hAnsi="Times New Roman" w:cs="Times New Roman"/>
          <w:kern w:val="0"/>
          <w:lang w:eastAsia="en-GB"/>
          <w14:ligatures w14:val="none"/>
        </w:rPr>
        <w:t xml:space="preserve"> Acting for competing clients in the same sector on different opportunities; acting for a client and separately for a contracting authority; acting for members of a consortium who may compete in future; a Director or Associate holding an interest in, or a personal relationship with, a client, competitor, evaluator or authority contact; an Associate working simultaneously for a competing tenderer; a client who is also a supplier or introducer.</w:t>
      </w:r>
    </w:p>
    <w:p w14:paraId="6A2EE6A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B.2.3 </w:t>
      </w:r>
      <w:r w:rsidRPr="00870E6C">
        <w:rPr>
          <w:rFonts w:ascii="Times New Roman" w:eastAsia="Times New Roman" w:hAnsi="Times New Roman" w:cs="Times New Roman"/>
          <w:b/>
          <w:bCs/>
          <w:kern w:val="0"/>
          <w:lang w:eastAsia="en-GB"/>
          <w14:ligatures w14:val="none"/>
        </w:rPr>
        <w:t>Not a conflict.</w:t>
      </w:r>
      <w:r w:rsidRPr="00870E6C">
        <w:rPr>
          <w:rFonts w:ascii="Times New Roman" w:eastAsia="Times New Roman" w:hAnsi="Times New Roman" w:cs="Times New Roman"/>
          <w:kern w:val="0"/>
          <w:lang w:eastAsia="en-GB"/>
          <w14:ligatures w14:val="none"/>
        </w:rPr>
        <w:t xml:space="preserve"> Acting for multiple clients in the same sector or geography on unrelated opportunities is expressly permitted by paragraph J.3 of the Terms of Engagement and does not require case-by-case consent.</w:t>
      </w:r>
    </w:p>
    <w:p w14:paraId="2453A8A7"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B.3 The check</w:t>
      </w:r>
    </w:p>
    <w:p w14:paraId="3879DE8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B.3.1 A conflict check is performed and recorded before any engagement is accepted, before any Associate is instructed, and again whenever the scope of an engagement changes.</w:t>
      </w:r>
    </w:p>
    <w:p w14:paraId="365B461A"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B.3.2 The check covers: the client and its group; the opportunity reference and lot; the contracting authority; known competing tenderers; consortium members; and the Associate proposed.</w:t>
      </w:r>
    </w:p>
    <w:p w14:paraId="669D117C"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B.3.3 The check is recorded in the register at Annex B.1. A check which is performed but not recorded is of no evidential value.</w:t>
      </w:r>
    </w:p>
    <w:p w14:paraId="32B4AB2C"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B.4 Managing a conflict</w:t>
      </w:r>
    </w:p>
    <w:p w14:paraId="58178AC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B.4.1 On identifying an absolute conflict at the enquiry stage, decline the second enquiry immediately and in writing, without disclosing the identity of the existing client or any information about the existing engagement.</w:t>
      </w:r>
    </w:p>
    <w:p w14:paraId="1A32EACD"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B.4.2 On identifying an absolute conflict after both engagements have been accepted, apply paragraph J.4 of the Terms of Engagement: notify both clients forthwith; continue for the client whose engagement was first accepted in writing; cease for the other; refund fees for work not performed; and return or destroy that client's confidential information.</w:t>
      </w:r>
    </w:p>
    <w:p w14:paraId="2E66886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B.4.3 On identifying a manageable conflict, disclose it in writing to the affected client or clients, explain how it will be managed, and obtain written acknowledgement before proceeding.</w:t>
      </w:r>
    </w:p>
    <w:p w14:paraId="2E8B874C"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B.4.4 Where a Director or Associate has a personal interest, that individual is removed from the engagement and their access to the engagement folder is revoked. Personal interests of Directors are additionally subject to sections 175 to 177 of the Companies Act 2006 and must be declared to the board and minuted.</w:t>
      </w:r>
    </w:p>
    <w:p w14:paraId="39D24B12"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B.4.5 Where in doubt, disclose. The reputational cost of an early disclosure is trivial next to the cost of a conflict discovered by a client.</w:t>
      </w:r>
    </w:p>
    <w:p w14:paraId="5396D0EC"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B.1 — CONFLICTS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18"/>
        <w:gridCol w:w="1004"/>
        <w:gridCol w:w="554"/>
        <w:gridCol w:w="1011"/>
        <w:gridCol w:w="854"/>
        <w:gridCol w:w="890"/>
        <w:gridCol w:w="890"/>
        <w:gridCol w:w="997"/>
        <w:gridCol w:w="575"/>
        <w:gridCol w:w="747"/>
        <w:gridCol w:w="754"/>
      </w:tblGrid>
      <w:tr w:rsidR="00870E6C" w:rsidRPr="00870E6C" w14:paraId="0B3B332D" w14:textId="77777777">
        <w:trPr>
          <w:tblHeader/>
          <w:tblCellSpacing w:w="15" w:type="dxa"/>
        </w:trPr>
        <w:tc>
          <w:tcPr>
            <w:tcW w:w="0" w:type="auto"/>
            <w:vAlign w:val="center"/>
            <w:hideMark/>
          </w:tcPr>
          <w:p w14:paraId="5BD9D057"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4E1A74F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w:t>
            </w:r>
          </w:p>
        </w:tc>
        <w:tc>
          <w:tcPr>
            <w:tcW w:w="0" w:type="auto"/>
            <w:vAlign w:val="center"/>
            <w:hideMark/>
          </w:tcPr>
          <w:p w14:paraId="68052B7F"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ENQUIRY / ENGAGEMENT REF</w:t>
            </w:r>
          </w:p>
        </w:tc>
        <w:tc>
          <w:tcPr>
            <w:tcW w:w="0" w:type="auto"/>
            <w:vAlign w:val="center"/>
            <w:hideMark/>
          </w:tcPr>
          <w:p w14:paraId="2962A13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CLIENT</w:t>
            </w:r>
          </w:p>
        </w:tc>
        <w:tc>
          <w:tcPr>
            <w:tcW w:w="0" w:type="auto"/>
            <w:vAlign w:val="center"/>
            <w:hideMark/>
          </w:tcPr>
          <w:p w14:paraId="47CED0E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OPPORTUNITY AND LOT</w:t>
            </w:r>
          </w:p>
        </w:tc>
        <w:tc>
          <w:tcPr>
            <w:tcW w:w="0" w:type="auto"/>
            <w:vAlign w:val="center"/>
            <w:hideMark/>
          </w:tcPr>
          <w:p w14:paraId="64304025"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AUTHORITY</w:t>
            </w:r>
          </w:p>
        </w:tc>
        <w:tc>
          <w:tcPr>
            <w:tcW w:w="0" w:type="auto"/>
            <w:vAlign w:val="center"/>
            <w:hideMark/>
          </w:tcPr>
          <w:p w14:paraId="2A19C7AD"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CHECK PERFORMED BY</w:t>
            </w:r>
          </w:p>
        </w:tc>
        <w:tc>
          <w:tcPr>
            <w:tcW w:w="0" w:type="auto"/>
            <w:vAlign w:val="center"/>
            <w:hideMark/>
          </w:tcPr>
          <w:p w14:paraId="3A0DF17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CONFLICT IDENTIFIED?</w:t>
            </w:r>
          </w:p>
        </w:tc>
        <w:tc>
          <w:tcPr>
            <w:tcW w:w="0" w:type="auto"/>
            <w:vAlign w:val="center"/>
            <w:hideMark/>
          </w:tcPr>
          <w:p w14:paraId="43F5563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TYPE (ABSOLUTE / MANAGEABLE / PERSONAL)</w:t>
            </w:r>
          </w:p>
        </w:tc>
        <w:tc>
          <w:tcPr>
            <w:tcW w:w="0" w:type="auto"/>
            <w:vAlign w:val="center"/>
            <w:hideMark/>
          </w:tcPr>
          <w:p w14:paraId="35F9831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ACTION TAKEN</w:t>
            </w:r>
          </w:p>
        </w:tc>
        <w:tc>
          <w:tcPr>
            <w:tcW w:w="0" w:type="auto"/>
            <w:vAlign w:val="center"/>
            <w:hideMark/>
          </w:tcPr>
          <w:p w14:paraId="40265CD9"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CLIENT NOTIFIED AND CONSENT OBTAINED</w:t>
            </w:r>
          </w:p>
        </w:tc>
        <w:tc>
          <w:tcPr>
            <w:tcW w:w="0" w:type="auto"/>
            <w:vAlign w:val="center"/>
            <w:hideMark/>
          </w:tcPr>
          <w:p w14:paraId="1AC4CEB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OUTCOME</w:t>
            </w:r>
          </w:p>
        </w:tc>
      </w:tr>
      <w:tr w:rsidR="00870E6C" w:rsidRPr="00870E6C" w14:paraId="4511E895" w14:textId="77777777">
        <w:trPr>
          <w:tblCellSpacing w:w="15" w:type="dxa"/>
        </w:trPr>
        <w:tc>
          <w:tcPr>
            <w:tcW w:w="0" w:type="auto"/>
            <w:vAlign w:val="center"/>
            <w:hideMark/>
          </w:tcPr>
          <w:p w14:paraId="7927000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8387BE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9F6670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CDC032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F731B6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DEE5B5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C33D3A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B4C8C6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2B3559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4E7333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4A5532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57498A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5B147DC2"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B.2 — DIRECTORS' AND ASSOCIATES' INTERESTS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885"/>
        <w:gridCol w:w="1088"/>
        <w:gridCol w:w="1675"/>
        <w:gridCol w:w="1200"/>
        <w:gridCol w:w="1314"/>
        <w:gridCol w:w="1483"/>
        <w:gridCol w:w="900"/>
      </w:tblGrid>
      <w:tr w:rsidR="00870E6C" w:rsidRPr="00870E6C" w14:paraId="221A4037" w14:textId="77777777">
        <w:trPr>
          <w:tblHeader/>
          <w:tblCellSpacing w:w="15" w:type="dxa"/>
        </w:trPr>
        <w:tc>
          <w:tcPr>
            <w:tcW w:w="0" w:type="auto"/>
            <w:vAlign w:val="center"/>
            <w:hideMark/>
          </w:tcPr>
          <w:p w14:paraId="3C296F5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1CA04939"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PERSON</w:t>
            </w:r>
          </w:p>
        </w:tc>
        <w:tc>
          <w:tcPr>
            <w:tcW w:w="0" w:type="auto"/>
            <w:vAlign w:val="center"/>
            <w:hideMark/>
          </w:tcPr>
          <w:p w14:paraId="4C25DE8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NATURE OF INTEREST</w:t>
            </w:r>
          </w:p>
        </w:tc>
        <w:tc>
          <w:tcPr>
            <w:tcW w:w="0" w:type="auto"/>
            <w:vAlign w:val="center"/>
            <w:hideMark/>
          </w:tcPr>
          <w:p w14:paraId="63D6E48A"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ORGANISATION</w:t>
            </w:r>
          </w:p>
        </w:tc>
        <w:tc>
          <w:tcPr>
            <w:tcW w:w="0" w:type="auto"/>
            <w:vAlign w:val="center"/>
            <w:hideMark/>
          </w:tcPr>
          <w:p w14:paraId="460A79DE"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 DECLARED</w:t>
            </w:r>
          </w:p>
        </w:tc>
        <w:tc>
          <w:tcPr>
            <w:tcW w:w="0" w:type="auto"/>
            <w:vAlign w:val="center"/>
            <w:hideMark/>
          </w:tcPr>
          <w:p w14:paraId="1AF21D8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BOARD MINUTE REFERENCE</w:t>
            </w:r>
          </w:p>
        </w:tc>
        <w:tc>
          <w:tcPr>
            <w:tcW w:w="0" w:type="auto"/>
            <w:vAlign w:val="center"/>
            <w:hideMark/>
          </w:tcPr>
          <w:p w14:paraId="5563A2C0"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RESTRICTION APPLIED</w:t>
            </w:r>
          </w:p>
        </w:tc>
        <w:tc>
          <w:tcPr>
            <w:tcW w:w="0" w:type="auto"/>
            <w:vAlign w:val="center"/>
            <w:hideMark/>
          </w:tcPr>
          <w:p w14:paraId="6A67905D"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 CEASED</w:t>
            </w:r>
          </w:p>
        </w:tc>
      </w:tr>
      <w:tr w:rsidR="00870E6C" w:rsidRPr="00870E6C" w14:paraId="3186738B" w14:textId="77777777">
        <w:trPr>
          <w:tblCellSpacing w:w="15" w:type="dxa"/>
        </w:trPr>
        <w:tc>
          <w:tcPr>
            <w:tcW w:w="0" w:type="auto"/>
            <w:vAlign w:val="center"/>
            <w:hideMark/>
          </w:tcPr>
          <w:p w14:paraId="641E3E3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744D13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61A142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183DD6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4AD2A6D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0E56824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7D1D72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837034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0E0B7BC8"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7EE3835F">
          <v:rect id="_x0000_i1030" alt="" style="width:451.3pt;height:.05pt;mso-width-percent:0;mso-height-percent:0;mso-width-percent:0;mso-height-percent:0" o:hralign="center" o:hrstd="t" o:hr="t" fillcolor="#a0a0a0" stroked="f"/>
        </w:pict>
      </w:r>
    </w:p>
    <w:p w14:paraId="69986ACA"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6E62059C">
          <v:rect id="_x0000_i1029" style="width:0;height:1.5pt" o:hralign="center" o:hrstd="t" o:hr="t" fillcolor="#a0a0a0" stroked="f"/>
        </w:pict>
      </w:r>
    </w:p>
    <w:p w14:paraId="1745BDFF"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PART C — CLIENT COMPLAINTS PROCEDURE</w:t>
      </w:r>
    </w:p>
    <w:p w14:paraId="6996A7B7"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C.1 Purpose and principles</w:t>
      </w:r>
    </w:p>
    <w:p w14:paraId="53AD0DA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C.1.1 The Company is not subject to compulsory ombudsman jurisdiction for its core services. This procedure is adopted because it is expected of any professional services firm, is frequently asked about in PQQs, and provides the internal discipline needed to notify insurers in time.</w:t>
      </w:r>
    </w:p>
    <w:p w14:paraId="30F1379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C.1.2 The overriding principle is speed. A complaint that is answered within days rarely becomes a claim; one that is ignored for weeks usually does.</w:t>
      </w:r>
    </w:p>
    <w:p w14:paraId="30EDEAEE"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C.2 How to complain</w:t>
      </w:r>
    </w:p>
    <w:p w14:paraId="325A6ED9"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C.2.1 A client may complain by any means, to any person at the Company. The published route is:</w:t>
      </w:r>
    </w:p>
    <w:p w14:paraId="525B521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b/>
          <w:bCs/>
          <w:kern w:val="0"/>
          <w:lang w:eastAsia="en-GB"/>
          <w14:ligatures w14:val="none"/>
        </w:rPr>
        <w:t>Complaints:</w:t>
      </w:r>
      <w:r w:rsidRPr="00870E6C">
        <w:rPr>
          <w:rFonts w:ascii="Times New Roman" w:eastAsia="Times New Roman" w:hAnsi="Times New Roman" w:cs="Times New Roman"/>
          <w:kern w:val="0"/>
          <w:lang w:eastAsia="en-GB"/>
          <w14:ligatures w14:val="none"/>
        </w:rPr>
        <w:t xml:space="preserve"> [COMPLAINTS EMAIL] · [COMPLAINTS TELEPHONE] · [COMPLAINTS POSTAL ADDRESS] </w:t>
      </w:r>
      <w:r w:rsidRPr="00870E6C">
        <w:rPr>
          <w:rFonts w:ascii="Times New Roman" w:eastAsia="Times New Roman" w:hAnsi="Times New Roman" w:cs="Times New Roman"/>
          <w:b/>
          <w:bCs/>
          <w:kern w:val="0"/>
          <w:lang w:eastAsia="en-GB"/>
          <w14:ligatures w14:val="none"/>
        </w:rPr>
        <w:t>Complaints handler:</w:t>
      </w:r>
      <w:r w:rsidRPr="00870E6C">
        <w:rPr>
          <w:rFonts w:ascii="Times New Roman" w:eastAsia="Times New Roman" w:hAnsi="Times New Roman" w:cs="Times New Roman"/>
          <w:kern w:val="0"/>
          <w:lang w:eastAsia="en-GB"/>
          <w14:ligatures w14:val="none"/>
        </w:rPr>
        <w:t xml:space="preserve"> [NAME, ROLE]</w:t>
      </w:r>
    </w:p>
    <w:p w14:paraId="146A608E"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C.2.2 No particular form of words is required and a client need not use the word "complaint". Any expression of dissatisfaction about the service is treated as one.</w:t>
      </w:r>
    </w:p>
    <w:p w14:paraId="5006F3A3"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C.3 Procedure and timescales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996"/>
        <w:gridCol w:w="2141"/>
      </w:tblGrid>
      <w:tr w:rsidR="00870E6C" w:rsidRPr="00870E6C" w14:paraId="202487CB" w14:textId="77777777">
        <w:trPr>
          <w:tblHeader/>
          <w:tblCellSpacing w:w="15" w:type="dxa"/>
        </w:trPr>
        <w:tc>
          <w:tcPr>
            <w:tcW w:w="0" w:type="auto"/>
            <w:vAlign w:val="center"/>
            <w:hideMark/>
          </w:tcPr>
          <w:p w14:paraId="35BD9C1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STAGE</w:t>
            </w:r>
          </w:p>
        </w:tc>
        <w:tc>
          <w:tcPr>
            <w:tcW w:w="0" w:type="auto"/>
            <w:vAlign w:val="center"/>
            <w:hideMark/>
          </w:tcPr>
          <w:p w14:paraId="4619089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ACTION</w:t>
            </w:r>
          </w:p>
        </w:tc>
        <w:tc>
          <w:tcPr>
            <w:tcW w:w="0" w:type="auto"/>
            <w:vAlign w:val="center"/>
            <w:hideMark/>
          </w:tcPr>
          <w:p w14:paraId="496AC56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TIMESCALE</w:t>
            </w:r>
          </w:p>
        </w:tc>
      </w:tr>
      <w:tr w:rsidR="00870E6C" w:rsidRPr="00870E6C" w14:paraId="5AC6772C" w14:textId="77777777">
        <w:trPr>
          <w:tblCellSpacing w:w="15" w:type="dxa"/>
        </w:trPr>
        <w:tc>
          <w:tcPr>
            <w:tcW w:w="0" w:type="auto"/>
            <w:vAlign w:val="center"/>
            <w:hideMark/>
          </w:tcPr>
          <w:p w14:paraId="347A3C2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C.3.1</w:t>
            </w:r>
          </w:p>
        </w:tc>
        <w:tc>
          <w:tcPr>
            <w:tcW w:w="0" w:type="auto"/>
            <w:vAlign w:val="center"/>
            <w:hideMark/>
          </w:tcPr>
          <w:p w14:paraId="50619F7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Log the complaint in the register at Annex C.1</w:t>
            </w:r>
          </w:p>
        </w:tc>
        <w:tc>
          <w:tcPr>
            <w:tcW w:w="0" w:type="auto"/>
            <w:vAlign w:val="center"/>
            <w:hideMark/>
          </w:tcPr>
          <w:p w14:paraId="4C2FA47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Same day</w:t>
            </w:r>
          </w:p>
        </w:tc>
      </w:tr>
      <w:tr w:rsidR="00870E6C" w:rsidRPr="00870E6C" w14:paraId="2C1FABB4" w14:textId="77777777">
        <w:trPr>
          <w:tblCellSpacing w:w="15" w:type="dxa"/>
        </w:trPr>
        <w:tc>
          <w:tcPr>
            <w:tcW w:w="0" w:type="auto"/>
            <w:vAlign w:val="center"/>
            <w:hideMark/>
          </w:tcPr>
          <w:p w14:paraId="0AD6C76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C.3.2</w:t>
            </w:r>
          </w:p>
        </w:tc>
        <w:tc>
          <w:tcPr>
            <w:tcW w:w="0" w:type="auto"/>
            <w:vAlign w:val="center"/>
            <w:hideMark/>
          </w:tcPr>
          <w:p w14:paraId="6CAD5E6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Consider whether it is or may become a claim; if so, notify insurers </w:t>
            </w:r>
            <w:r w:rsidRPr="00870E6C">
              <w:rPr>
                <w:rFonts w:ascii="Times New Roman" w:eastAsia="Times New Roman" w:hAnsi="Times New Roman" w:cs="Times New Roman"/>
                <w:b/>
                <w:bCs/>
                <w:kern w:val="0"/>
                <w:lang w:eastAsia="en-GB"/>
                <w14:ligatures w14:val="none"/>
              </w:rPr>
              <w:t>before</w:t>
            </w:r>
            <w:r w:rsidRPr="00870E6C">
              <w:rPr>
                <w:rFonts w:ascii="Times New Roman" w:eastAsia="Times New Roman" w:hAnsi="Times New Roman" w:cs="Times New Roman"/>
                <w:kern w:val="0"/>
                <w:lang w:eastAsia="en-GB"/>
                <w14:ligatures w14:val="none"/>
              </w:rPr>
              <w:t xml:space="preserve"> responding substantively (see paragraph C.5)</w:t>
            </w:r>
          </w:p>
        </w:tc>
        <w:tc>
          <w:tcPr>
            <w:tcW w:w="0" w:type="auto"/>
            <w:vAlign w:val="center"/>
            <w:hideMark/>
          </w:tcPr>
          <w:p w14:paraId="520BDCB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Within 1 Business Day</w:t>
            </w:r>
          </w:p>
        </w:tc>
      </w:tr>
      <w:tr w:rsidR="00870E6C" w:rsidRPr="00870E6C" w14:paraId="481E436A" w14:textId="77777777">
        <w:trPr>
          <w:tblCellSpacing w:w="15" w:type="dxa"/>
        </w:trPr>
        <w:tc>
          <w:tcPr>
            <w:tcW w:w="0" w:type="auto"/>
            <w:vAlign w:val="center"/>
            <w:hideMark/>
          </w:tcPr>
          <w:p w14:paraId="560AF3F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C.3.3</w:t>
            </w:r>
          </w:p>
        </w:tc>
        <w:tc>
          <w:tcPr>
            <w:tcW w:w="0" w:type="auto"/>
            <w:vAlign w:val="center"/>
            <w:hideMark/>
          </w:tcPr>
          <w:p w14:paraId="7D3DB02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Acknowledge in writing, confirm who is handling it, and confirm the timescale</w:t>
            </w:r>
          </w:p>
        </w:tc>
        <w:tc>
          <w:tcPr>
            <w:tcW w:w="0" w:type="auto"/>
            <w:vAlign w:val="center"/>
            <w:hideMark/>
          </w:tcPr>
          <w:p w14:paraId="429ACFA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Within 2 Business Days</w:t>
            </w:r>
          </w:p>
        </w:tc>
      </w:tr>
      <w:tr w:rsidR="00870E6C" w:rsidRPr="00870E6C" w14:paraId="187ECA7B" w14:textId="77777777">
        <w:trPr>
          <w:tblCellSpacing w:w="15" w:type="dxa"/>
        </w:trPr>
        <w:tc>
          <w:tcPr>
            <w:tcW w:w="0" w:type="auto"/>
            <w:vAlign w:val="center"/>
            <w:hideMark/>
          </w:tcPr>
          <w:p w14:paraId="4C0D275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C.3.4</w:t>
            </w:r>
          </w:p>
        </w:tc>
        <w:tc>
          <w:tcPr>
            <w:tcW w:w="0" w:type="auto"/>
            <w:vAlign w:val="center"/>
            <w:hideMark/>
          </w:tcPr>
          <w:p w14:paraId="2FAB8C7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Investigate: review the engagement file, the Terms of Engagement, the correspondence and the drafts; speak to the responsible Director and any Associate involved</w:t>
            </w:r>
          </w:p>
        </w:tc>
        <w:tc>
          <w:tcPr>
            <w:tcW w:w="0" w:type="auto"/>
            <w:vAlign w:val="center"/>
            <w:hideMark/>
          </w:tcPr>
          <w:p w14:paraId="6338E38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Within 10 Business Days</w:t>
            </w:r>
          </w:p>
        </w:tc>
      </w:tr>
      <w:tr w:rsidR="00870E6C" w:rsidRPr="00870E6C" w14:paraId="56D4952D" w14:textId="77777777">
        <w:trPr>
          <w:tblCellSpacing w:w="15" w:type="dxa"/>
        </w:trPr>
        <w:tc>
          <w:tcPr>
            <w:tcW w:w="0" w:type="auto"/>
            <w:vAlign w:val="center"/>
            <w:hideMark/>
          </w:tcPr>
          <w:p w14:paraId="532A88E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C.3.5</w:t>
            </w:r>
          </w:p>
        </w:tc>
        <w:tc>
          <w:tcPr>
            <w:tcW w:w="0" w:type="auto"/>
            <w:vAlign w:val="center"/>
            <w:hideMark/>
          </w:tcPr>
          <w:p w14:paraId="21D2026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Respond in writing setting out the findings, the reasons, and any remedy offered</w:t>
            </w:r>
          </w:p>
        </w:tc>
        <w:tc>
          <w:tcPr>
            <w:tcW w:w="0" w:type="auto"/>
            <w:vAlign w:val="center"/>
            <w:hideMark/>
          </w:tcPr>
          <w:p w14:paraId="10B3A52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Within 15 Business Days</w:t>
            </w:r>
          </w:p>
        </w:tc>
      </w:tr>
      <w:tr w:rsidR="00870E6C" w:rsidRPr="00870E6C" w14:paraId="699139EC" w14:textId="77777777">
        <w:trPr>
          <w:tblCellSpacing w:w="15" w:type="dxa"/>
        </w:trPr>
        <w:tc>
          <w:tcPr>
            <w:tcW w:w="0" w:type="auto"/>
            <w:vAlign w:val="center"/>
            <w:hideMark/>
          </w:tcPr>
          <w:p w14:paraId="346BB36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C.3.6</w:t>
            </w:r>
          </w:p>
        </w:tc>
        <w:tc>
          <w:tcPr>
            <w:tcW w:w="0" w:type="auto"/>
            <w:vAlign w:val="center"/>
            <w:hideMark/>
          </w:tcPr>
          <w:p w14:paraId="22CEE21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If more time is needed, write before the deadline explaining why and giving a revised date</w:t>
            </w:r>
          </w:p>
        </w:tc>
        <w:tc>
          <w:tcPr>
            <w:tcW w:w="0" w:type="auto"/>
            <w:vAlign w:val="center"/>
            <w:hideMark/>
          </w:tcPr>
          <w:p w14:paraId="75C389F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Before expiry</w:t>
            </w:r>
          </w:p>
        </w:tc>
      </w:tr>
      <w:tr w:rsidR="00870E6C" w:rsidRPr="00870E6C" w14:paraId="1C817B78" w14:textId="77777777">
        <w:trPr>
          <w:tblCellSpacing w:w="15" w:type="dxa"/>
        </w:trPr>
        <w:tc>
          <w:tcPr>
            <w:tcW w:w="0" w:type="auto"/>
            <w:vAlign w:val="center"/>
            <w:hideMark/>
          </w:tcPr>
          <w:p w14:paraId="0368078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C.3.7</w:t>
            </w:r>
          </w:p>
        </w:tc>
        <w:tc>
          <w:tcPr>
            <w:tcW w:w="0" w:type="auto"/>
            <w:vAlign w:val="center"/>
            <w:hideMark/>
          </w:tcPr>
          <w:p w14:paraId="48F6668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If the client remains dissatisfied, offer a review by a Director not previously involved</w:t>
            </w:r>
          </w:p>
        </w:tc>
        <w:tc>
          <w:tcPr>
            <w:tcW w:w="0" w:type="auto"/>
            <w:vAlign w:val="center"/>
            <w:hideMark/>
          </w:tcPr>
          <w:p w14:paraId="2FC7BBE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Within 10 Business Days of request</w:t>
            </w:r>
          </w:p>
        </w:tc>
      </w:tr>
      <w:tr w:rsidR="00870E6C" w:rsidRPr="00870E6C" w14:paraId="16031EC9" w14:textId="77777777">
        <w:trPr>
          <w:tblCellSpacing w:w="15" w:type="dxa"/>
        </w:trPr>
        <w:tc>
          <w:tcPr>
            <w:tcW w:w="0" w:type="auto"/>
            <w:vAlign w:val="center"/>
            <w:hideMark/>
          </w:tcPr>
          <w:p w14:paraId="2E6A748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C.3.8</w:t>
            </w:r>
          </w:p>
        </w:tc>
        <w:tc>
          <w:tcPr>
            <w:tcW w:w="0" w:type="auto"/>
            <w:vAlign w:val="center"/>
            <w:hideMark/>
          </w:tcPr>
          <w:p w14:paraId="4506036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If still unresolved, refer to mediation under paragraph L.11.1 of the Terms of Engagement</w:t>
            </w:r>
          </w:p>
        </w:tc>
        <w:tc>
          <w:tcPr>
            <w:tcW w:w="0" w:type="auto"/>
            <w:vAlign w:val="center"/>
            <w:hideMark/>
          </w:tcPr>
          <w:p w14:paraId="12BDCA3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On request</w:t>
            </w:r>
          </w:p>
        </w:tc>
      </w:tr>
      <w:tr w:rsidR="00870E6C" w:rsidRPr="00870E6C" w14:paraId="5D1017D0" w14:textId="77777777">
        <w:trPr>
          <w:tblCellSpacing w:w="15" w:type="dxa"/>
        </w:trPr>
        <w:tc>
          <w:tcPr>
            <w:tcW w:w="0" w:type="auto"/>
            <w:vAlign w:val="center"/>
            <w:hideMark/>
          </w:tcPr>
          <w:p w14:paraId="10C0BC1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C.3.9</w:t>
            </w:r>
          </w:p>
        </w:tc>
        <w:tc>
          <w:tcPr>
            <w:tcW w:w="0" w:type="auto"/>
            <w:vAlign w:val="center"/>
            <w:hideMark/>
          </w:tcPr>
          <w:p w14:paraId="4CFCAB9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Close, record the outcome and the root cause, and identify any process change</w:t>
            </w:r>
          </w:p>
        </w:tc>
        <w:tc>
          <w:tcPr>
            <w:tcW w:w="0" w:type="auto"/>
            <w:vAlign w:val="center"/>
            <w:hideMark/>
          </w:tcPr>
          <w:p w14:paraId="1450065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On conclusion</w:t>
            </w:r>
          </w:p>
        </w:tc>
      </w:tr>
    </w:tbl>
    <w:p w14:paraId="4D6E6918"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C.4 Handling</w:t>
      </w:r>
    </w:p>
    <w:p w14:paraId="1FC29217"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C.4.1 The complaint is handled by a Director who was not responsible for the engagement wherever possible. Where the Founder was responsible, Samir or Sharif handles it.</w:t>
      </w:r>
    </w:p>
    <w:p w14:paraId="066B441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C.4.2 Respond to what was actually said, not to what is easiest to answer. Address every point raised.</w:t>
      </w:r>
    </w:p>
    <w:p w14:paraId="5C1EED22"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C.4.3 Where the Company is at fault, say so, apologise, and put it right. An apology is not an admission of legal liability, but check paragraph C.5 before offering any remedy with a financial value.</w:t>
      </w:r>
    </w:p>
    <w:p w14:paraId="297C0A9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C.4.4 Where the Company is not at fault, explain why by reference to the Terms of Engagement and the contemporaneous record, without hostility.</w:t>
      </w:r>
    </w:p>
    <w:p w14:paraId="16AF2983"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C.4.5 Do not offer a refund, credit or other financial remedy exceeding £[REMEDY THRESHOLD — DEFAULT 500] without the Founder's approval and, where insurers have been notified, without their consent.</w:t>
      </w:r>
    </w:p>
    <w:p w14:paraId="58D83438"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C.5 Interaction with professional indemnity insurance</w:t>
      </w:r>
    </w:p>
    <w:p w14:paraId="795839E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C.5.1 Professional indemnity policies are written on a claims-made basis and contain conditions precedent as to notification. Failure to notify within the required period can void cover entirely.</w:t>
      </w:r>
    </w:p>
    <w:p w14:paraId="48B36DC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C.5.2 Notify insurers immediately where a complaint: alleges error, omission or negligence; asserts that a tender was lost through the Company's fault; demands money, a refund or compensation; references legal advice or solicitors; or relates to a data breach or confidentiality failure.</w:t>
      </w:r>
    </w:p>
    <w:p w14:paraId="2686363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C.5.3 Where in doubt, notify. Notification of a circumstance costs nothing and preserves cover; non-notification can lose it.</w:t>
      </w:r>
    </w:p>
    <w:p w14:paraId="05D9CEA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C.5.4 Do not admit liability, do not offer to compensate, and do not agree to any settlement without insurer consent, as doing so is generally a breach of policy condition.</w:t>
      </w:r>
    </w:p>
    <w:p w14:paraId="0FDA39EF"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C.6 Learning</w:t>
      </w:r>
    </w:p>
    <w:p w14:paraId="41ED481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C.6.1 Every closed complaint is reviewed at the next monthly Directors' meeting, with the root cause recorded and any resulting change to templates, checklists or this Manual identified and implemented.</w:t>
      </w:r>
    </w:p>
    <w:p w14:paraId="46F2572B"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C.1 — COMPLAINTS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
        <w:gridCol w:w="687"/>
        <w:gridCol w:w="931"/>
        <w:gridCol w:w="799"/>
        <w:gridCol w:w="654"/>
        <w:gridCol w:w="760"/>
        <w:gridCol w:w="647"/>
        <w:gridCol w:w="1122"/>
        <w:gridCol w:w="793"/>
        <w:gridCol w:w="687"/>
        <w:gridCol w:w="463"/>
        <w:gridCol w:w="608"/>
        <w:gridCol w:w="563"/>
      </w:tblGrid>
      <w:tr w:rsidR="00870E6C" w:rsidRPr="00870E6C" w14:paraId="30878DE0" w14:textId="77777777">
        <w:trPr>
          <w:tblHeader/>
          <w:tblCellSpacing w:w="15" w:type="dxa"/>
        </w:trPr>
        <w:tc>
          <w:tcPr>
            <w:tcW w:w="0" w:type="auto"/>
            <w:vAlign w:val="center"/>
            <w:hideMark/>
          </w:tcPr>
          <w:p w14:paraId="5A06DFCA"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54C43A0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 RECEIVED</w:t>
            </w:r>
          </w:p>
        </w:tc>
        <w:tc>
          <w:tcPr>
            <w:tcW w:w="0" w:type="auto"/>
            <w:vAlign w:val="center"/>
            <w:hideMark/>
          </w:tcPr>
          <w:p w14:paraId="06F3CD4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CLIENT AND ENGAGEMENT REF</w:t>
            </w:r>
          </w:p>
        </w:tc>
        <w:tc>
          <w:tcPr>
            <w:tcW w:w="0" w:type="auto"/>
            <w:vAlign w:val="center"/>
            <w:hideMark/>
          </w:tcPr>
          <w:p w14:paraId="521609D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NATURE OF COMPLAINT</w:t>
            </w:r>
          </w:p>
        </w:tc>
        <w:tc>
          <w:tcPr>
            <w:tcW w:w="0" w:type="auto"/>
            <w:vAlign w:val="center"/>
            <w:hideMark/>
          </w:tcPr>
          <w:p w14:paraId="32850F3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HANDLER</w:t>
            </w:r>
          </w:p>
        </w:tc>
        <w:tc>
          <w:tcPr>
            <w:tcW w:w="0" w:type="auto"/>
            <w:vAlign w:val="center"/>
            <w:hideMark/>
          </w:tcPr>
          <w:p w14:paraId="35A4B59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POTENTIAL CLAIM?</w:t>
            </w:r>
          </w:p>
        </w:tc>
        <w:tc>
          <w:tcPr>
            <w:tcW w:w="0" w:type="auto"/>
            <w:vAlign w:val="center"/>
            <w:hideMark/>
          </w:tcPr>
          <w:p w14:paraId="0AD69C07"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INSURER NOTIFIED (DATE)</w:t>
            </w:r>
          </w:p>
        </w:tc>
        <w:tc>
          <w:tcPr>
            <w:tcW w:w="0" w:type="auto"/>
            <w:vAlign w:val="center"/>
            <w:hideMark/>
          </w:tcPr>
          <w:p w14:paraId="662C60ED"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ACKNOWLEDGED (DATE)</w:t>
            </w:r>
          </w:p>
        </w:tc>
        <w:tc>
          <w:tcPr>
            <w:tcW w:w="0" w:type="auto"/>
            <w:vAlign w:val="center"/>
            <w:hideMark/>
          </w:tcPr>
          <w:p w14:paraId="4F8F60A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RESPONDED (DATE)</w:t>
            </w:r>
          </w:p>
        </w:tc>
        <w:tc>
          <w:tcPr>
            <w:tcW w:w="0" w:type="auto"/>
            <w:vAlign w:val="center"/>
            <w:hideMark/>
          </w:tcPr>
          <w:p w14:paraId="4A7AD5F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OUTCOME AND REMEDY</w:t>
            </w:r>
          </w:p>
        </w:tc>
        <w:tc>
          <w:tcPr>
            <w:tcW w:w="0" w:type="auto"/>
            <w:vAlign w:val="center"/>
            <w:hideMark/>
          </w:tcPr>
          <w:p w14:paraId="656FE1B0"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ROOT CAUSE</w:t>
            </w:r>
          </w:p>
        </w:tc>
        <w:tc>
          <w:tcPr>
            <w:tcW w:w="0" w:type="auto"/>
            <w:vAlign w:val="center"/>
            <w:hideMark/>
          </w:tcPr>
          <w:p w14:paraId="1031FF2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PROCESS CHANGE</w:t>
            </w:r>
          </w:p>
        </w:tc>
        <w:tc>
          <w:tcPr>
            <w:tcW w:w="0" w:type="auto"/>
            <w:vAlign w:val="center"/>
            <w:hideMark/>
          </w:tcPr>
          <w:p w14:paraId="6916F37A"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CLOSED (DATE)</w:t>
            </w:r>
          </w:p>
        </w:tc>
      </w:tr>
      <w:tr w:rsidR="00870E6C" w:rsidRPr="00870E6C" w14:paraId="5397DE71" w14:textId="77777777">
        <w:trPr>
          <w:tblCellSpacing w:w="15" w:type="dxa"/>
        </w:trPr>
        <w:tc>
          <w:tcPr>
            <w:tcW w:w="0" w:type="auto"/>
            <w:vAlign w:val="center"/>
            <w:hideMark/>
          </w:tcPr>
          <w:p w14:paraId="5B5A9C3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E27117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BD6D4C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BACE2F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28C7C3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28548E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E49BAD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4D92123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7D28E3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3A6CEF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115DA9E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14AC44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3C59943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043D7470"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5CD5FEEB">
          <v:rect id="_x0000_i1028" alt="" style="width:451.3pt;height:.05pt;mso-width-percent:0;mso-height-percent:0;mso-width-percent:0;mso-height-percent:0" o:hralign="center" o:hrstd="t" o:hr="t" fillcolor="#a0a0a0" stroked="f"/>
        </w:pict>
      </w:r>
    </w:p>
    <w:p w14:paraId="44A8A8EE"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0736D5EF">
          <v:rect id="_x0000_i1027" style="width:0;height:1.5pt" o:hralign="center" o:hrstd="t" o:hr="t" fillcolor="#a0a0a0" stroked="f"/>
        </w:pict>
      </w:r>
    </w:p>
    <w:p w14:paraId="15658DCD"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PART D — HEALTH AND SAFETY POLICY</w:t>
      </w:r>
    </w:p>
    <w:p w14:paraId="73FDB50E"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D.1 Statement and legal position</w:t>
      </w:r>
    </w:p>
    <w:p w14:paraId="6717D424"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D.1.1 The Company is committed to ensuring, so far as is reasonably practicable, the health, safety and welfare of its Directors, Associates and anyone else affected by its activities.</w:t>
      </w:r>
    </w:p>
    <w:p w14:paraId="1832653D"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 xml:space="preserve">D.1.2 The Company has no employees at the date of this Policy. The requirement under section 2(3) of the Health and Safety at Work etc. Act 1974 to prepare a </w:t>
      </w:r>
      <w:r w:rsidRPr="00870E6C">
        <w:rPr>
          <w:rFonts w:ascii="Times New Roman" w:eastAsia="Times New Roman" w:hAnsi="Times New Roman" w:cs="Times New Roman"/>
          <w:b/>
          <w:bCs/>
          <w:kern w:val="0"/>
          <w:lang w:eastAsia="en-GB"/>
          <w14:ligatures w14:val="none"/>
        </w:rPr>
        <w:t>written</w:t>
      </w:r>
      <w:r w:rsidRPr="00870E6C">
        <w:rPr>
          <w:rFonts w:ascii="Times New Roman" w:eastAsia="Times New Roman" w:hAnsi="Times New Roman" w:cs="Times New Roman"/>
          <w:kern w:val="0"/>
          <w:lang w:eastAsia="en-GB"/>
          <w14:ligatures w14:val="none"/>
        </w:rPr>
        <w:t xml:space="preserve"> health and safety policy statement applies to employers with five or more employees. The duties under section 3 to persons other than employees apply regardless. This Policy is adopted voluntarily because public sector PQQs routinely require a written policy, and because it will be required in any event on the first employee.</w:t>
      </w:r>
    </w:p>
    <w:p w14:paraId="606287C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D.1.3 The Founder holds overall responsibility for health and safety.</w:t>
      </w:r>
    </w:p>
    <w:p w14:paraId="3F01084F"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D.2 Risk profile</w:t>
      </w:r>
    </w:p>
    <w:p w14:paraId="25A89F0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D.2.1 The Company is a remote-first professional services business. The principal risks are display screen equipment risks, homeworking risks, lone working during client visits, and the psychosocial risk associated with deadline-driven work.</w:t>
      </w:r>
    </w:p>
    <w:p w14:paraId="50EACC8D"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D.3 Homeworking and display screen equipment</w:t>
      </w:r>
    </w:p>
    <w:p w14:paraId="5AB62FB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D.3.1 Each Director and Associate completes the workstation self-assessment at Annex D.1 on commencement and annually thereafter.</w:t>
      </w:r>
    </w:p>
    <w:p w14:paraId="1A5147F0"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D.3.2 The Company will meet the reasonable cost of remedial equipment identified by a self-assessment, subject to approval under the capital expenditure provisions of the Shareholders' and Directors' Agreement.</w:t>
      </w:r>
    </w:p>
    <w:p w14:paraId="3B418E77"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D.3.3 Regular breaks are taken from screen work. Continuous screen work for extended periods without a break is discouraged, particularly in the run-up to a submission deadline.</w:t>
      </w:r>
    </w:p>
    <w:p w14:paraId="5D03419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D.3.4 Electrical equipment supplied by the Company is visually inspected periodically and replaced when damaged. Domestic electrical safety in a home working environment remains the responsibility of the occupier.</w:t>
      </w:r>
    </w:p>
    <w:p w14:paraId="60F95B29"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D.4 Client visits and lone working</w:t>
      </w:r>
    </w:p>
    <w:p w14:paraId="592B0B09"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D.4.1 Before attending any client site, check whether the client requires site-specific induction, personal protective equipment or an escort. Many of the Company's clients operate in construction and trades and their sites carry risks well beyond a normal office.</w:t>
      </w:r>
    </w:p>
    <w:p w14:paraId="63533B9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D.4.2 Comply with all site rules, signage and instructions. Do not enter any operational area without an escort.</w:t>
      </w:r>
    </w:p>
    <w:p w14:paraId="0B233D6C"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D.4.3 Record the destination, contact and expected return time with another Director before any lone visit, and confirm safe departure afterwards.</w:t>
      </w:r>
    </w:p>
    <w:p w14:paraId="61F818F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D.4.4 Do not conduct visits to unfamiliar premises alone where there is any concern about personal safety. Personal safety takes priority over commercial convenience without exception.</w:t>
      </w:r>
    </w:p>
    <w:p w14:paraId="05E2DFE7"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D.5 Wellbeing and workload</w:t>
      </w:r>
    </w:p>
    <w:p w14:paraId="6BB4536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D.5.1 Deadline pressure in this business is externally imposed and non-negotiable, which makes workload management a genuine safety issue rather than a formality.</w:t>
      </w:r>
    </w:p>
    <w:p w14:paraId="7FF11A0A"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D.5.2 Capacity is assessed before accepting any engagement. Where accepting work would require sustained excessive hours, the engagement is declined, deferred, or resourced through an Associate.</w:t>
      </w:r>
    </w:p>
    <w:p w14:paraId="5F8100AB"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D.5.3 The engagement tracker is reviewed at each monthly meeting to identify deadline clustering in advance.</w:t>
      </w:r>
    </w:p>
    <w:p w14:paraId="730396E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D.5.4 Any Director or Associate who considers their workload unsafe or unsustainable should raise it with the Founder, and doing so will not affect their standing, engagement or Profit Share.</w:t>
      </w:r>
    </w:p>
    <w:p w14:paraId="6BC0321E"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D.6 Accidents and incidents</w:t>
      </w:r>
    </w:p>
    <w:p w14:paraId="474F96D1"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D.6.1 Any accident, injury, near miss or dangerous occurrence arising from Company activity is reported to the Founder and recorded at Annex D.2.</w:t>
      </w:r>
    </w:p>
    <w:p w14:paraId="5359BBBF"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lastRenderedPageBreak/>
        <w:t>D.6.2 Reportable incidents under the Reporting of Injuries, Diseases and Dangerous Occurrences Regulations 2013 are reported to the Health and Safety Executive within the applicable period. Advice is taken where reportability is uncertain.</w:t>
      </w:r>
    </w:p>
    <w:p w14:paraId="348476D6"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D.6.3 Where an incident occurs on a client site, it is also reported to the client's responsible person.</w:t>
      </w:r>
    </w:p>
    <w:p w14:paraId="58CFD186"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D.7 On engaging the first employee</w:t>
      </w:r>
    </w:p>
    <w:p w14:paraId="37A5DD18" w14:textId="77777777" w:rsidR="00870E6C" w:rsidRPr="00870E6C" w:rsidRDefault="00870E6C" w:rsidP="00870E6C">
      <w:pPr>
        <w:spacing w:before="100" w:beforeAutospacing="1" w:after="100" w:afterAutospacing="1"/>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D.7.1 Before the first employee starts: obtain employers' liability insurance and display or make available the certificate; complete a documented risk assessment; provide health and safety induction; and, on reaching five employees, ensure this Policy is signed and dated as the written statement required by section 2(3).</w:t>
      </w:r>
    </w:p>
    <w:p w14:paraId="711FAC45"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D.1 — WORKSTATION SELF-ASSESSMENT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599"/>
        <w:gridCol w:w="1074"/>
        <w:gridCol w:w="1036"/>
      </w:tblGrid>
      <w:tr w:rsidR="00870E6C" w:rsidRPr="00870E6C" w14:paraId="7E2E4B7A" w14:textId="77777777">
        <w:trPr>
          <w:tblHeader/>
          <w:tblCellSpacing w:w="15" w:type="dxa"/>
        </w:trPr>
        <w:tc>
          <w:tcPr>
            <w:tcW w:w="0" w:type="auto"/>
            <w:vAlign w:val="center"/>
            <w:hideMark/>
          </w:tcPr>
          <w:p w14:paraId="6720C900"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6FCC0174"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CHECK</w:t>
            </w:r>
          </w:p>
        </w:tc>
        <w:tc>
          <w:tcPr>
            <w:tcW w:w="0" w:type="auto"/>
            <w:vAlign w:val="center"/>
            <w:hideMark/>
          </w:tcPr>
          <w:p w14:paraId="0060B408"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YES / NO</w:t>
            </w:r>
          </w:p>
        </w:tc>
        <w:tc>
          <w:tcPr>
            <w:tcW w:w="0" w:type="auto"/>
            <w:vAlign w:val="center"/>
            <w:hideMark/>
          </w:tcPr>
          <w:p w14:paraId="18E7582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ACTION</w:t>
            </w:r>
          </w:p>
        </w:tc>
      </w:tr>
      <w:tr w:rsidR="00870E6C" w:rsidRPr="00870E6C" w14:paraId="12796D4B" w14:textId="77777777">
        <w:trPr>
          <w:tblCellSpacing w:w="15" w:type="dxa"/>
        </w:trPr>
        <w:tc>
          <w:tcPr>
            <w:tcW w:w="0" w:type="auto"/>
            <w:vAlign w:val="center"/>
            <w:hideMark/>
          </w:tcPr>
          <w:p w14:paraId="5112781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w:t>
            </w:r>
          </w:p>
        </w:tc>
        <w:tc>
          <w:tcPr>
            <w:tcW w:w="0" w:type="auto"/>
            <w:vAlign w:val="center"/>
            <w:hideMark/>
          </w:tcPr>
          <w:p w14:paraId="4C95140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Screen at eye level, arm's length away, free from glare</w:t>
            </w:r>
          </w:p>
        </w:tc>
        <w:tc>
          <w:tcPr>
            <w:tcW w:w="0" w:type="auto"/>
            <w:vAlign w:val="center"/>
            <w:hideMark/>
          </w:tcPr>
          <w:p w14:paraId="0E2ECB1B"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34328DDF"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1428AD60" w14:textId="77777777">
        <w:trPr>
          <w:tblCellSpacing w:w="15" w:type="dxa"/>
        </w:trPr>
        <w:tc>
          <w:tcPr>
            <w:tcW w:w="0" w:type="auto"/>
            <w:vAlign w:val="center"/>
            <w:hideMark/>
          </w:tcPr>
          <w:p w14:paraId="5762A27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2</w:t>
            </w:r>
          </w:p>
        </w:tc>
        <w:tc>
          <w:tcPr>
            <w:tcW w:w="0" w:type="auto"/>
            <w:vAlign w:val="center"/>
            <w:hideMark/>
          </w:tcPr>
          <w:p w14:paraId="7DFEE53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Chair adjustable, with back support; feet flat or supported</w:t>
            </w:r>
          </w:p>
        </w:tc>
        <w:tc>
          <w:tcPr>
            <w:tcW w:w="0" w:type="auto"/>
            <w:vAlign w:val="center"/>
            <w:hideMark/>
          </w:tcPr>
          <w:p w14:paraId="36ABC40C"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768CD733"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761EC10B" w14:textId="77777777">
        <w:trPr>
          <w:tblCellSpacing w:w="15" w:type="dxa"/>
        </w:trPr>
        <w:tc>
          <w:tcPr>
            <w:tcW w:w="0" w:type="auto"/>
            <w:vAlign w:val="center"/>
            <w:hideMark/>
          </w:tcPr>
          <w:p w14:paraId="778FFA4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3</w:t>
            </w:r>
          </w:p>
        </w:tc>
        <w:tc>
          <w:tcPr>
            <w:tcW w:w="0" w:type="auto"/>
            <w:vAlign w:val="center"/>
            <w:hideMark/>
          </w:tcPr>
          <w:p w14:paraId="6981CE7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Keyboard and mouse positioned to keep wrists straight</w:t>
            </w:r>
          </w:p>
        </w:tc>
        <w:tc>
          <w:tcPr>
            <w:tcW w:w="0" w:type="auto"/>
            <w:vAlign w:val="center"/>
            <w:hideMark/>
          </w:tcPr>
          <w:p w14:paraId="33DB5093"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7FAEF5F5"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5929689A" w14:textId="77777777">
        <w:trPr>
          <w:tblCellSpacing w:w="15" w:type="dxa"/>
        </w:trPr>
        <w:tc>
          <w:tcPr>
            <w:tcW w:w="0" w:type="auto"/>
            <w:vAlign w:val="center"/>
            <w:hideMark/>
          </w:tcPr>
          <w:p w14:paraId="14E0CBB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4</w:t>
            </w:r>
          </w:p>
        </w:tc>
        <w:tc>
          <w:tcPr>
            <w:tcW w:w="0" w:type="auto"/>
            <w:vAlign w:val="center"/>
            <w:hideMark/>
          </w:tcPr>
          <w:p w14:paraId="0EF4FE8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Adequate lighting; no reflection on screen</w:t>
            </w:r>
          </w:p>
        </w:tc>
        <w:tc>
          <w:tcPr>
            <w:tcW w:w="0" w:type="auto"/>
            <w:vAlign w:val="center"/>
            <w:hideMark/>
          </w:tcPr>
          <w:p w14:paraId="67D57E52"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045C049B"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0875C072" w14:textId="77777777">
        <w:trPr>
          <w:tblCellSpacing w:w="15" w:type="dxa"/>
        </w:trPr>
        <w:tc>
          <w:tcPr>
            <w:tcW w:w="0" w:type="auto"/>
            <w:vAlign w:val="center"/>
            <w:hideMark/>
          </w:tcPr>
          <w:p w14:paraId="249EC1E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5</w:t>
            </w:r>
          </w:p>
        </w:tc>
        <w:tc>
          <w:tcPr>
            <w:tcW w:w="0" w:type="auto"/>
            <w:vAlign w:val="center"/>
            <w:hideMark/>
          </w:tcPr>
          <w:p w14:paraId="79825CB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Sufficient desk space; no cramped posture</w:t>
            </w:r>
          </w:p>
        </w:tc>
        <w:tc>
          <w:tcPr>
            <w:tcW w:w="0" w:type="auto"/>
            <w:vAlign w:val="center"/>
            <w:hideMark/>
          </w:tcPr>
          <w:p w14:paraId="192CAEFB"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62419172"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5F1B94FD" w14:textId="77777777">
        <w:trPr>
          <w:tblCellSpacing w:w="15" w:type="dxa"/>
        </w:trPr>
        <w:tc>
          <w:tcPr>
            <w:tcW w:w="0" w:type="auto"/>
            <w:vAlign w:val="center"/>
            <w:hideMark/>
          </w:tcPr>
          <w:p w14:paraId="28649CD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6</w:t>
            </w:r>
          </w:p>
        </w:tc>
        <w:tc>
          <w:tcPr>
            <w:tcW w:w="0" w:type="auto"/>
            <w:vAlign w:val="center"/>
            <w:hideMark/>
          </w:tcPr>
          <w:p w14:paraId="36E1021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Cables managed; no trip hazard</w:t>
            </w:r>
          </w:p>
        </w:tc>
        <w:tc>
          <w:tcPr>
            <w:tcW w:w="0" w:type="auto"/>
            <w:vAlign w:val="center"/>
            <w:hideMark/>
          </w:tcPr>
          <w:p w14:paraId="711A62CE"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1C4D5DFE"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2BAB0277" w14:textId="77777777">
        <w:trPr>
          <w:tblCellSpacing w:w="15" w:type="dxa"/>
        </w:trPr>
        <w:tc>
          <w:tcPr>
            <w:tcW w:w="0" w:type="auto"/>
            <w:vAlign w:val="center"/>
            <w:hideMark/>
          </w:tcPr>
          <w:p w14:paraId="402FA53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7</w:t>
            </w:r>
          </w:p>
        </w:tc>
        <w:tc>
          <w:tcPr>
            <w:tcW w:w="0" w:type="auto"/>
            <w:vAlign w:val="center"/>
            <w:hideMark/>
          </w:tcPr>
          <w:p w14:paraId="7EE14F9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Adequate ventilation and comfortable temperature</w:t>
            </w:r>
          </w:p>
        </w:tc>
        <w:tc>
          <w:tcPr>
            <w:tcW w:w="0" w:type="auto"/>
            <w:vAlign w:val="center"/>
            <w:hideMark/>
          </w:tcPr>
          <w:p w14:paraId="24B771A8"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2C90020A"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2F9A8443" w14:textId="77777777">
        <w:trPr>
          <w:tblCellSpacing w:w="15" w:type="dxa"/>
        </w:trPr>
        <w:tc>
          <w:tcPr>
            <w:tcW w:w="0" w:type="auto"/>
            <w:vAlign w:val="center"/>
            <w:hideMark/>
          </w:tcPr>
          <w:p w14:paraId="5A8A57F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8</w:t>
            </w:r>
          </w:p>
        </w:tc>
        <w:tc>
          <w:tcPr>
            <w:tcW w:w="0" w:type="auto"/>
            <w:vAlign w:val="center"/>
            <w:hideMark/>
          </w:tcPr>
          <w:p w14:paraId="085E46B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Regular breaks taken from screen work</w:t>
            </w:r>
          </w:p>
        </w:tc>
        <w:tc>
          <w:tcPr>
            <w:tcW w:w="0" w:type="auto"/>
            <w:vAlign w:val="center"/>
            <w:hideMark/>
          </w:tcPr>
          <w:p w14:paraId="23CB06F0"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3ED5EAB9"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759A3611" w14:textId="77777777">
        <w:trPr>
          <w:tblCellSpacing w:w="15" w:type="dxa"/>
        </w:trPr>
        <w:tc>
          <w:tcPr>
            <w:tcW w:w="0" w:type="auto"/>
            <w:vAlign w:val="center"/>
            <w:hideMark/>
          </w:tcPr>
          <w:p w14:paraId="55D0DC0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9</w:t>
            </w:r>
          </w:p>
        </w:tc>
        <w:tc>
          <w:tcPr>
            <w:tcW w:w="0" w:type="auto"/>
            <w:vAlign w:val="center"/>
            <w:hideMark/>
          </w:tcPr>
          <w:p w14:paraId="4894C7C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Any discomfort, eye strain or pain experienced</w:t>
            </w:r>
          </w:p>
        </w:tc>
        <w:tc>
          <w:tcPr>
            <w:tcW w:w="0" w:type="auto"/>
            <w:vAlign w:val="center"/>
            <w:hideMark/>
          </w:tcPr>
          <w:p w14:paraId="0EC1576B"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2A435ED7"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68033F95" w14:textId="77777777">
        <w:trPr>
          <w:tblCellSpacing w:w="15" w:type="dxa"/>
        </w:trPr>
        <w:tc>
          <w:tcPr>
            <w:tcW w:w="0" w:type="auto"/>
            <w:vAlign w:val="center"/>
            <w:hideMark/>
          </w:tcPr>
          <w:p w14:paraId="381933D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10</w:t>
            </w:r>
          </w:p>
        </w:tc>
        <w:tc>
          <w:tcPr>
            <w:tcW w:w="0" w:type="auto"/>
            <w:vAlign w:val="center"/>
            <w:hideMark/>
          </w:tcPr>
          <w:p w14:paraId="39E5CCB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Equipment required</w:t>
            </w:r>
          </w:p>
        </w:tc>
        <w:tc>
          <w:tcPr>
            <w:tcW w:w="0" w:type="auto"/>
            <w:vAlign w:val="center"/>
            <w:hideMark/>
          </w:tcPr>
          <w:p w14:paraId="3FEA6E21"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1F8FBAF0"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r w:rsidR="00870E6C" w:rsidRPr="00870E6C" w14:paraId="760827BC" w14:textId="77777777">
        <w:trPr>
          <w:tblCellSpacing w:w="15" w:type="dxa"/>
        </w:trPr>
        <w:tc>
          <w:tcPr>
            <w:tcW w:w="0" w:type="auto"/>
            <w:vAlign w:val="center"/>
            <w:hideMark/>
          </w:tcPr>
          <w:p w14:paraId="5FAB3262"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c>
          <w:tcPr>
            <w:tcW w:w="0" w:type="auto"/>
            <w:vAlign w:val="center"/>
            <w:hideMark/>
          </w:tcPr>
          <w:p w14:paraId="45B8D21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Completed by / date</w:t>
            </w:r>
          </w:p>
        </w:tc>
        <w:tc>
          <w:tcPr>
            <w:tcW w:w="0" w:type="auto"/>
            <w:vAlign w:val="center"/>
            <w:hideMark/>
          </w:tcPr>
          <w:p w14:paraId="5E6072D4" w14:textId="77777777" w:rsidR="00870E6C" w:rsidRPr="00870E6C" w:rsidRDefault="00870E6C" w:rsidP="00870E6C">
            <w:pPr>
              <w:rPr>
                <w:rFonts w:ascii="Times New Roman" w:eastAsia="Times New Roman" w:hAnsi="Times New Roman" w:cs="Times New Roman"/>
                <w:kern w:val="0"/>
                <w:lang w:eastAsia="en-GB"/>
                <w14:ligatures w14:val="none"/>
              </w:rPr>
            </w:pPr>
          </w:p>
        </w:tc>
        <w:tc>
          <w:tcPr>
            <w:tcW w:w="0" w:type="auto"/>
            <w:vAlign w:val="center"/>
            <w:hideMark/>
          </w:tcPr>
          <w:p w14:paraId="35220AE1" w14:textId="77777777" w:rsidR="00870E6C" w:rsidRPr="00870E6C" w:rsidRDefault="00870E6C" w:rsidP="00870E6C">
            <w:pPr>
              <w:rPr>
                <w:rFonts w:ascii="Times New Roman" w:eastAsia="Times New Roman" w:hAnsi="Times New Roman" w:cs="Times New Roman"/>
                <w:kern w:val="0"/>
                <w:sz w:val="20"/>
                <w:szCs w:val="20"/>
                <w:lang w:eastAsia="en-GB"/>
                <w14:ligatures w14:val="none"/>
              </w:rPr>
            </w:pPr>
          </w:p>
        </w:tc>
      </w:tr>
    </w:tbl>
    <w:p w14:paraId="31E95ADF"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ANNEX D.2 — ACCIDENT AND INCIDENT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
        <w:gridCol w:w="520"/>
        <w:gridCol w:w="733"/>
        <w:gridCol w:w="963"/>
        <w:gridCol w:w="1212"/>
        <w:gridCol w:w="687"/>
        <w:gridCol w:w="1074"/>
        <w:gridCol w:w="1286"/>
        <w:gridCol w:w="982"/>
        <w:gridCol w:w="1163"/>
      </w:tblGrid>
      <w:tr w:rsidR="00870E6C" w:rsidRPr="00870E6C" w14:paraId="673D310C" w14:textId="77777777">
        <w:trPr>
          <w:tblHeader/>
          <w:tblCellSpacing w:w="15" w:type="dxa"/>
        </w:trPr>
        <w:tc>
          <w:tcPr>
            <w:tcW w:w="0" w:type="auto"/>
            <w:vAlign w:val="center"/>
            <w:hideMark/>
          </w:tcPr>
          <w:p w14:paraId="604FF55A"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76845D7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DATE</w:t>
            </w:r>
          </w:p>
        </w:tc>
        <w:tc>
          <w:tcPr>
            <w:tcW w:w="0" w:type="auto"/>
            <w:vAlign w:val="center"/>
            <w:hideMark/>
          </w:tcPr>
          <w:p w14:paraId="4F020A39"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PERSON</w:t>
            </w:r>
          </w:p>
        </w:tc>
        <w:tc>
          <w:tcPr>
            <w:tcW w:w="0" w:type="auto"/>
            <w:vAlign w:val="center"/>
            <w:hideMark/>
          </w:tcPr>
          <w:p w14:paraId="1C4F19E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LOCATION</w:t>
            </w:r>
          </w:p>
        </w:tc>
        <w:tc>
          <w:tcPr>
            <w:tcW w:w="0" w:type="auto"/>
            <w:vAlign w:val="center"/>
            <w:hideMark/>
          </w:tcPr>
          <w:p w14:paraId="21A0992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DESCRIPTION</w:t>
            </w:r>
          </w:p>
        </w:tc>
        <w:tc>
          <w:tcPr>
            <w:tcW w:w="0" w:type="auto"/>
            <w:vAlign w:val="center"/>
            <w:hideMark/>
          </w:tcPr>
          <w:p w14:paraId="2920C497"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INJURY</w:t>
            </w:r>
          </w:p>
        </w:tc>
        <w:tc>
          <w:tcPr>
            <w:tcW w:w="0" w:type="auto"/>
            <w:vAlign w:val="center"/>
            <w:hideMark/>
          </w:tcPr>
          <w:p w14:paraId="692290A5"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IMMEDIATE ACTION</w:t>
            </w:r>
          </w:p>
        </w:tc>
        <w:tc>
          <w:tcPr>
            <w:tcW w:w="0" w:type="auto"/>
            <w:vAlign w:val="center"/>
            <w:hideMark/>
          </w:tcPr>
          <w:p w14:paraId="6E140831"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RIDDOR REPORTABLE?</w:t>
            </w:r>
          </w:p>
        </w:tc>
        <w:tc>
          <w:tcPr>
            <w:tcW w:w="0" w:type="auto"/>
            <w:vAlign w:val="center"/>
            <w:hideMark/>
          </w:tcPr>
          <w:p w14:paraId="118B427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REPORTED (DATE)</w:t>
            </w:r>
          </w:p>
        </w:tc>
        <w:tc>
          <w:tcPr>
            <w:tcW w:w="0" w:type="auto"/>
            <w:vAlign w:val="center"/>
            <w:hideMark/>
          </w:tcPr>
          <w:p w14:paraId="268213C5"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PREVENTIVE ACTION</w:t>
            </w:r>
          </w:p>
        </w:tc>
      </w:tr>
      <w:tr w:rsidR="00870E6C" w:rsidRPr="00870E6C" w14:paraId="21A26AB5" w14:textId="77777777">
        <w:trPr>
          <w:tblCellSpacing w:w="15" w:type="dxa"/>
        </w:trPr>
        <w:tc>
          <w:tcPr>
            <w:tcW w:w="0" w:type="auto"/>
            <w:vAlign w:val="center"/>
            <w:hideMark/>
          </w:tcPr>
          <w:p w14:paraId="318F9A5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D1FB9B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52391D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09EDD8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19A4E6E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663AC63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7D322D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79EB88E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5BF03C8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c>
          <w:tcPr>
            <w:tcW w:w="0" w:type="auto"/>
            <w:vAlign w:val="center"/>
            <w:hideMark/>
          </w:tcPr>
          <w:p w14:paraId="2A4E871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t>
            </w:r>
          </w:p>
        </w:tc>
      </w:tr>
    </w:tbl>
    <w:p w14:paraId="6EE46F4D"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7F573D80">
          <v:rect id="_x0000_i1026" alt="" style="width:451.3pt;height:.05pt;mso-width-percent:0;mso-height-percent:0;mso-width-percent:0;mso-height-percent:0" o:hralign="center" o:hrstd="t" o:hr="t" fillcolor="#a0a0a0" stroked="f"/>
        </w:pict>
      </w:r>
    </w:p>
    <w:p w14:paraId="4C8EDD19" w14:textId="77777777" w:rsidR="00870E6C" w:rsidRPr="00870E6C" w:rsidRDefault="006E698C" w:rsidP="00870E6C">
      <w:pPr>
        <w:rPr>
          <w:rFonts w:ascii="Times New Roman" w:eastAsia="Times New Roman" w:hAnsi="Times New Roman" w:cs="Times New Roman"/>
          <w:kern w:val="0"/>
          <w:lang w:eastAsia="en-GB"/>
          <w14:ligatures w14:val="none"/>
        </w:rPr>
      </w:pPr>
      <w:r w:rsidRPr="006E698C">
        <w:rPr>
          <w:rFonts w:ascii="Times New Roman" w:eastAsia="Times New Roman" w:hAnsi="Times New Roman" w:cs="Times New Roman"/>
          <w:noProof/>
          <w:kern w:val="0"/>
          <w:lang w:eastAsia="en-GB"/>
        </w:rPr>
        <w:pict w14:anchorId="7C0F0600">
          <v:rect id="_x0000_i1025" style="width:0;height:1.5pt" o:hralign="center" o:hrstd="t" o:hr="t" fillcolor="#a0a0a0" stroked="f"/>
        </w:pict>
      </w:r>
    </w:p>
    <w:p w14:paraId="1FC4F927" w14:textId="77777777" w:rsidR="00870E6C" w:rsidRPr="00870E6C" w:rsidRDefault="00870E6C" w:rsidP="00870E6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70E6C">
        <w:rPr>
          <w:rFonts w:ascii="Times New Roman" w:eastAsia="Times New Roman" w:hAnsi="Times New Roman" w:cs="Times New Roman"/>
          <w:b/>
          <w:bCs/>
          <w:kern w:val="36"/>
          <w:sz w:val="48"/>
          <w:szCs w:val="48"/>
          <w:lang w:eastAsia="en-GB"/>
          <w14:ligatures w14:val="none"/>
        </w:rPr>
        <w:t>PART E — CLIENT ONBOARDING AND FILE MANAGEMENT</w:t>
      </w:r>
    </w:p>
    <w:p w14:paraId="62970450"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E.1 File opening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702"/>
        <w:gridCol w:w="769"/>
      </w:tblGrid>
      <w:tr w:rsidR="00870E6C" w:rsidRPr="00870E6C" w14:paraId="02C7717D" w14:textId="77777777">
        <w:trPr>
          <w:tblHeader/>
          <w:tblCellSpacing w:w="15" w:type="dxa"/>
        </w:trPr>
        <w:tc>
          <w:tcPr>
            <w:tcW w:w="0" w:type="auto"/>
            <w:vAlign w:val="center"/>
            <w:hideMark/>
          </w:tcPr>
          <w:p w14:paraId="568D6546"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09732412"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STEP</w:t>
            </w:r>
          </w:p>
        </w:tc>
        <w:tc>
          <w:tcPr>
            <w:tcW w:w="0" w:type="auto"/>
            <w:vAlign w:val="center"/>
            <w:hideMark/>
          </w:tcPr>
          <w:p w14:paraId="213B80C3"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DONE</w:t>
            </w:r>
          </w:p>
        </w:tc>
      </w:tr>
      <w:tr w:rsidR="00870E6C" w:rsidRPr="00870E6C" w14:paraId="3924D896" w14:textId="77777777">
        <w:trPr>
          <w:tblCellSpacing w:w="15" w:type="dxa"/>
        </w:trPr>
        <w:tc>
          <w:tcPr>
            <w:tcW w:w="0" w:type="auto"/>
            <w:vAlign w:val="center"/>
            <w:hideMark/>
          </w:tcPr>
          <w:p w14:paraId="3859882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w:t>
            </w:r>
          </w:p>
        </w:tc>
        <w:tc>
          <w:tcPr>
            <w:tcW w:w="0" w:type="auto"/>
            <w:vAlign w:val="center"/>
            <w:hideMark/>
          </w:tcPr>
          <w:p w14:paraId="5DC9EFE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Enquiry logged; opportunity, authority and lot identified</w:t>
            </w:r>
          </w:p>
        </w:tc>
        <w:tc>
          <w:tcPr>
            <w:tcW w:w="0" w:type="auto"/>
            <w:vAlign w:val="center"/>
            <w:hideMark/>
          </w:tcPr>
          <w:p w14:paraId="2706562E"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4BAF67B1" w14:textId="77777777">
        <w:trPr>
          <w:tblCellSpacing w:w="15" w:type="dxa"/>
        </w:trPr>
        <w:tc>
          <w:tcPr>
            <w:tcW w:w="0" w:type="auto"/>
            <w:vAlign w:val="center"/>
            <w:hideMark/>
          </w:tcPr>
          <w:p w14:paraId="5595BCF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2</w:t>
            </w:r>
          </w:p>
        </w:tc>
        <w:tc>
          <w:tcPr>
            <w:tcW w:w="0" w:type="auto"/>
            <w:vAlign w:val="center"/>
            <w:hideMark/>
          </w:tcPr>
          <w:p w14:paraId="6C7F650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Conflict check performed and recorded (Part B, Annex B.1)</w:t>
            </w:r>
          </w:p>
        </w:tc>
        <w:tc>
          <w:tcPr>
            <w:tcW w:w="0" w:type="auto"/>
            <w:vAlign w:val="center"/>
            <w:hideMark/>
          </w:tcPr>
          <w:p w14:paraId="6E54F106"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48870258" w14:textId="77777777">
        <w:trPr>
          <w:tblCellSpacing w:w="15" w:type="dxa"/>
        </w:trPr>
        <w:tc>
          <w:tcPr>
            <w:tcW w:w="0" w:type="auto"/>
            <w:vAlign w:val="center"/>
            <w:hideMark/>
          </w:tcPr>
          <w:p w14:paraId="2329DC8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3</w:t>
            </w:r>
          </w:p>
        </w:tc>
        <w:tc>
          <w:tcPr>
            <w:tcW w:w="0" w:type="auto"/>
            <w:vAlign w:val="center"/>
            <w:hideMark/>
          </w:tcPr>
          <w:p w14:paraId="17FDD7C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Client identity verified: company number, registered office, directors checked at Companies House</w:t>
            </w:r>
          </w:p>
        </w:tc>
        <w:tc>
          <w:tcPr>
            <w:tcW w:w="0" w:type="auto"/>
            <w:vAlign w:val="center"/>
            <w:hideMark/>
          </w:tcPr>
          <w:p w14:paraId="004A96C7"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312149A" w14:textId="77777777">
        <w:trPr>
          <w:tblCellSpacing w:w="15" w:type="dxa"/>
        </w:trPr>
        <w:tc>
          <w:tcPr>
            <w:tcW w:w="0" w:type="auto"/>
            <w:vAlign w:val="center"/>
            <w:hideMark/>
          </w:tcPr>
          <w:p w14:paraId="7E71D0B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4</w:t>
            </w:r>
          </w:p>
        </w:tc>
        <w:tc>
          <w:tcPr>
            <w:tcW w:w="0" w:type="auto"/>
            <w:vAlign w:val="center"/>
            <w:hideMark/>
          </w:tcPr>
          <w:p w14:paraId="6F60260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Consider whether the client presents a credit risk; deposit set accordingly</w:t>
            </w:r>
          </w:p>
        </w:tc>
        <w:tc>
          <w:tcPr>
            <w:tcW w:w="0" w:type="auto"/>
            <w:vAlign w:val="center"/>
            <w:hideMark/>
          </w:tcPr>
          <w:p w14:paraId="569F29C3"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27EB4230" w14:textId="77777777">
        <w:trPr>
          <w:tblCellSpacing w:w="15" w:type="dxa"/>
        </w:trPr>
        <w:tc>
          <w:tcPr>
            <w:tcW w:w="0" w:type="auto"/>
            <w:vAlign w:val="center"/>
            <w:hideMark/>
          </w:tcPr>
          <w:p w14:paraId="57AD2DF6"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5</w:t>
            </w:r>
          </w:p>
        </w:tc>
        <w:tc>
          <w:tcPr>
            <w:tcW w:w="0" w:type="auto"/>
            <w:vAlign w:val="center"/>
            <w:hideMark/>
          </w:tcPr>
          <w:p w14:paraId="29C9244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Engagement Particulars prepared, including fee, deadlines and information deadline</w:t>
            </w:r>
          </w:p>
        </w:tc>
        <w:tc>
          <w:tcPr>
            <w:tcW w:w="0" w:type="auto"/>
            <w:vAlign w:val="center"/>
            <w:hideMark/>
          </w:tcPr>
          <w:p w14:paraId="2481F045"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1EE2D6D1" w14:textId="77777777">
        <w:trPr>
          <w:tblCellSpacing w:w="15" w:type="dxa"/>
        </w:trPr>
        <w:tc>
          <w:tcPr>
            <w:tcW w:w="0" w:type="auto"/>
            <w:vAlign w:val="center"/>
            <w:hideMark/>
          </w:tcPr>
          <w:p w14:paraId="0756EAF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6</w:t>
            </w:r>
          </w:p>
        </w:tc>
        <w:tc>
          <w:tcPr>
            <w:tcW w:w="0" w:type="auto"/>
            <w:vAlign w:val="center"/>
            <w:hideMark/>
          </w:tcPr>
          <w:p w14:paraId="2C8153D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Terms of Engagement issued, together with AI Addendum, DPA and IP Schedule</w:t>
            </w:r>
          </w:p>
        </w:tc>
        <w:tc>
          <w:tcPr>
            <w:tcW w:w="0" w:type="auto"/>
            <w:vAlign w:val="center"/>
            <w:hideMark/>
          </w:tcPr>
          <w:p w14:paraId="787AECFE"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6A02BD6C" w14:textId="77777777">
        <w:trPr>
          <w:tblCellSpacing w:w="15" w:type="dxa"/>
        </w:trPr>
        <w:tc>
          <w:tcPr>
            <w:tcW w:w="0" w:type="auto"/>
            <w:vAlign w:val="center"/>
            <w:hideMark/>
          </w:tcPr>
          <w:p w14:paraId="7F57E43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7</w:t>
            </w:r>
          </w:p>
        </w:tc>
        <w:tc>
          <w:tcPr>
            <w:tcW w:w="0" w:type="auto"/>
            <w:vAlign w:val="center"/>
            <w:hideMark/>
          </w:tcPr>
          <w:p w14:paraId="69DB1F7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Signed acceptance received and filed</w:t>
            </w:r>
          </w:p>
        </w:tc>
        <w:tc>
          <w:tcPr>
            <w:tcW w:w="0" w:type="auto"/>
            <w:vAlign w:val="center"/>
            <w:hideMark/>
          </w:tcPr>
          <w:p w14:paraId="16522FDC"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00C1DA2E" w14:textId="77777777">
        <w:trPr>
          <w:tblCellSpacing w:w="15" w:type="dxa"/>
        </w:trPr>
        <w:tc>
          <w:tcPr>
            <w:tcW w:w="0" w:type="auto"/>
            <w:vAlign w:val="center"/>
            <w:hideMark/>
          </w:tcPr>
          <w:p w14:paraId="0629C26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8</w:t>
            </w:r>
          </w:p>
        </w:tc>
        <w:tc>
          <w:tcPr>
            <w:tcW w:w="0" w:type="auto"/>
            <w:vAlign w:val="center"/>
            <w:hideMark/>
          </w:tcPr>
          <w:p w14:paraId="0B13F86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Deposit received in cleared funds</w:t>
            </w:r>
          </w:p>
        </w:tc>
        <w:tc>
          <w:tcPr>
            <w:tcW w:w="0" w:type="auto"/>
            <w:vAlign w:val="center"/>
            <w:hideMark/>
          </w:tcPr>
          <w:p w14:paraId="182C90F6"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AE2235A" w14:textId="77777777">
        <w:trPr>
          <w:tblCellSpacing w:w="15" w:type="dxa"/>
        </w:trPr>
        <w:tc>
          <w:tcPr>
            <w:tcW w:w="0" w:type="auto"/>
            <w:vAlign w:val="center"/>
            <w:hideMark/>
          </w:tcPr>
          <w:p w14:paraId="27DBBBA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9</w:t>
            </w:r>
          </w:p>
        </w:tc>
        <w:tc>
          <w:tcPr>
            <w:tcW w:w="0" w:type="auto"/>
            <w:vAlign w:val="center"/>
            <w:hideMark/>
          </w:tcPr>
          <w:p w14:paraId="33BABE33"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Engagement folder created; access granted to responsible Director and one other</w:t>
            </w:r>
          </w:p>
        </w:tc>
        <w:tc>
          <w:tcPr>
            <w:tcW w:w="0" w:type="auto"/>
            <w:vAlign w:val="center"/>
            <w:hideMark/>
          </w:tcPr>
          <w:p w14:paraId="1E1F8947"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78EFDB58" w14:textId="77777777">
        <w:trPr>
          <w:tblCellSpacing w:w="15" w:type="dxa"/>
        </w:trPr>
        <w:tc>
          <w:tcPr>
            <w:tcW w:w="0" w:type="auto"/>
            <w:vAlign w:val="center"/>
            <w:hideMark/>
          </w:tcPr>
          <w:p w14:paraId="1072F88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10</w:t>
            </w:r>
          </w:p>
        </w:tc>
        <w:tc>
          <w:tcPr>
            <w:tcW w:w="0" w:type="auto"/>
            <w:vAlign w:val="center"/>
            <w:hideMark/>
          </w:tcPr>
          <w:p w14:paraId="25B4C6C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Entry created in the engagement tracker with deadline and internal delivery deadline</w:t>
            </w:r>
          </w:p>
        </w:tc>
        <w:tc>
          <w:tcPr>
            <w:tcW w:w="0" w:type="auto"/>
            <w:vAlign w:val="center"/>
            <w:hideMark/>
          </w:tcPr>
          <w:p w14:paraId="2339BC0C"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173161AF" w14:textId="77777777">
        <w:trPr>
          <w:tblCellSpacing w:w="15" w:type="dxa"/>
        </w:trPr>
        <w:tc>
          <w:tcPr>
            <w:tcW w:w="0" w:type="auto"/>
            <w:vAlign w:val="center"/>
            <w:hideMark/>
          </w:tcPr>
          <w:p w14:paraId="24BEA7A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11</w:t>
            </w:r>
          </w:p>
        </w:tc>
        <w:tc>
          <w:tcPr>
            <w:tcW w:w="0" w:type="auto"/>
            <w:vAlign w:val="center"/>
            <w:hideMark/>
          </w:tcPr>
          <w:p w14:paraId="4132355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Any authority restriction on documents or AI use recorded</w:t>
            </w:r>
          </w:p>
        </w:tc>
        <w:tc>
          <w:tcPr>
            <w:tcW w:w="0" w:type="auto"/>
            <w:vAlign w:val="center"/>
            <w:hideMark/>
          </w:tcPr>
          <w:p w14:paraId="3E3520A0"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466F1651" w14:textId="77777777">
        <w:trPr>
          <w:tblCellSpacing w:w="15" w:type="dxa"/>
        </w:trPr>
        <w:tc>
          <w:tcPr>
            <w:tcW w:w="0" w:type="auto"/>
            <w:vAlign w:val="center"/>
            <w:hideMark/>
          </w:tcPr>
          <w:p w14:paraId="5C7D3BF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12</w:t>
            </w:r>
          </w:p>
        </w:tc>
        <w:tc>
          <w:tcPr>
            <w:tcW w:w="0" w:type="auto"/>
            <w:vAlign w:val="center"/>
            <w:hideMark/>
          </w:tcPr>
          <w:p w14:paraId="4B72077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Personal data received reviewed and minimised; unnecessary data redacted or returned</w:t>
            </w:r>
          </w:p>
        </w:tc>
        <w:tc>
          <w:tcPr>
            <w:tcW w:w="0" w:type="auto"/>
            <w:vAlign w:val="center"/>
            <w:hideMark/>
          </w:tcPr>
          <w:p w14:paraId="709605F2"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429D644C" w14:textId="77777777">
        <w:trPr>
          <w:tblCellSpacing w:w="15" w:type="dxa"/>
        </w:trPr>
        <w:tc>
          <w:tcPr>
            <w:tcW w:w="0" w:type="auto"/>
            <w:vAlign w:val="center"/>
            <w:hideMark/>
          </w:tcPr>
          <w:p w14:paraId="2EB7EF9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13</w:t>
            </w:r>
          </w:p>
        </w:tc>
        <w:tc>
          <w:tcPr>
            <w:tcW w:w="0" w:type="auto"/>
            <w:vAlign w:val="center"/>
            <w:hideMark/>
          </w:tcPr>
          <w:p w14:paraId="616EC58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Associate required? If so, conflict check, Engagement Instruction issued, assurance record current</w:t>
            </w:r>
          </w:p>
        </w:tc>
        <w:tc>
          <w:tcPr>
            <w:tcW w:w="0" w:type="auto"/>
            <w:vAlign w:val="center"/>
            <w:hideMark/>
          </w:tcPr>
          <w:p w14:paraId="719D8251"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E0465FB" w14:textId="77777777">
        <w:trPr>
          <w:tblCellSpacing w:w="15" w:type="dxa"/>
        </w:trPr>
        <w:tc>
          <w:tcPr>
            <w:tcW w:w="0" w:type="auto"/>
            <w:vAlign w:val="center"/>
            <w:hideMark/>
          </w:tcPr>
          <w:p w14:paraId="2B1D8FA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14</w:t>
            </w:r>
          </w:p>
        </w:tc>
        <w:tc>
          <w:tcPr>
            <w:tcW w:w="0" w:type="auto"/>
            <w:vAlign w:val="center"/>
            <w:hideMark/>
          </w:tcPr>
          <w:p w14:paraId="281CBD8E"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AI use record opened (Information Governance Manual, Part A, paragraph A.3)</w:t>
            </w:r>
          </w:p>
        </w:tc>
        <w:tc>
          <w:tcPr>
            <w:tcW w:w="0" w:type="auto"/>
            <w:vAlign w:val="center"/>
            <w:hideMark/>
          </w:tcPr>
          <w:p w14:paraId="71A0B9CA"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1E4762B0" w14:textId="77777777">
        <w:trPr>
          <w:tblCellSpacing w:w="15" w:type="dxa"/>
        </w:trPr>
        <w:tc>
          <w:tcPr>
            <w:tcW w:w="0" w:type="auto"/>
            <w:vAlign w:val="center"/>
            <w:hideMark/>
          </w:tcPr>
          <w:p w14:paraId="49C921BA"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15</w:t>
            </w:r>
          </w:p>
        </w:tc>
        <w:tc>
          <w:tcPr>
            <w:tcW w:w="0" w:type="auto"/>
            <w:vAlign w:val="center"/>
            <w:hideMark/>
          </w:tcPr>
          <w:p w14:paraId="441FCAB7"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Work commenced only after steps 7 and 8</w:t>
            </w:r>
          </w:p>
        </w:tc>
        <w:tc>
          <w:tcPr>
            <w:tcW w:w="0" w:type="auto"/>
            <w:vAlign w:val="center"/>
            <w:hideMark/>
          </w:tcPr>
          <w:p w14:paraId="12B0A8C6" w14:textId="77777777" w:rsidR="00870E6C" w:rsidRPr="00870E6C" w:rsidRDefault="00870E6C" w:rsidP="00870E6C">
            <w:pPr>
              <w:rPr>
                <w:rFonts w:ascii="Times New Roman" w:eastAsia="Times New Roman" w:hAnsi="Times New Roman" w:cs="Times New Roman"/>
                <w:kern w:val="0"/>
                <w:lang w:eastAsia="en-GB"/>
                <w14:ligatures w14:val="none"/>
              </w:rPr>
            </w:pPr>
          </w:p>
        </w:tc>
      </w:tr>
    </w:tbl>
    <w:p w14:paraId="33A1BA9A" w14:textId="77777777" w:rsidR="00870E6C" w:rsidRPr="00870E6C" w:rsidRDefault="00870E6C" w:rsidP="00870E6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70E6C">
        <w:rPr>
          <w:rFonts w:ascii="Times New Roman" w:eastAsia="Times New Roman" w:hAnsi="Times New Roman" w:cs="Times New Roman"/>
          <w:b/>
          <w:bCs/>
          <w:kern w:val="0"/>
          <w:sz w:val="36"/>
          <w:szCs w:val="36"/>
          <w:lang w:eastAsia="en-GB"/>
          <w14:ligatures w14:val="none"/>
        </w:rPr>
        <w:t>E.2 File closing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702"/>
        <w:gridCol w:w="769"/>
      </w:tblGrid>
      <w:tr w:rsidR="00870E6C" w:rsidRPr="00870E6C" w14:paraId="34EC992F" w14:textId="77777777">
        <w:trPr>
          <w:tblHeader/>
          <w:tblCellSpacing w:w="15" w:type="dxa"/>
        </w:trPr>
        <w:tc>
          <w:tcPr>
            <w:tcW w:w="0" w:type="auto"/>
            <w:vAlign w:val="center"/>
            <w:hideMark/>
          </w:tcPr>
          <w:p w14:paraId="5E80766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REF</w:t>
            </w:r>
          </w:p>
        </w:tc>
        <w:tc>
          <w:tcPr>
            <w:tcW w:w="0" w:type="auto"/>
            <w:vAlign w:val="center"/>
            <w:hideMark/>
          </w:tcPr>
          <w:p w14:paraId="014BC3DC"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STEP</w:t>
            </w:r>
          </w:p>
        </w:tc>
        <w:tc>
          <w:tcPr>
            <w:tcW w:w="0" w:type="auto"/>
            <w:vAlign w:val="center"/>
            <w:hideMark/>
          </w:tcPr>
          <w:p w14:paraId="52A5925B" w14:textId="77777777" w:rsidR="00870E6C" w:rsidRPr="00870E6C" w:rsidRDefault="00870E6C" w:rsidP="00870E6C">
            <w:pPr>
              <w:jc w:val="center"/>
              <w:rPr>
                <w:rFonts w:ascii="Times New Roman" w:eastAsia="Times New Roman" w:hAnsi="Times New Roman" w:cs="Times New Roman"/>
                <w:b/>
                <w:bCs/>
                <w:kern w:val="0"/>
                <w:lang w:eastAsia="en-GB"/>
                <w14:ligatures w14:val="none"/>
              </w:rPr>
            </w:pPr>
            <w:r w:rsidRPr="00870E6C">
              <w:rPr>
                <w:rFonts w:ascii="Times New Roman" w:eastAsia="Times New Roman" w:hAnsi="Times New Roman" w:cs="Times New Roman"/>
                <w:b/>
                <w:bCs/>
                <w:kern w:val="0"/>
                <w:lang w:eastAsia="en-GB"/>
                <w14:ligatures w14:val="none"/>
              </w:rPr>
              <w:t>DONE</w:t>
            </w:r>
          </w:p>
        </w:tc>
      </w:tr>
      <w:tr w:rsidR="00870E6C" w:rsidRPr="00870E6C" w14:paraId="295E2F88" w14:textId="77777777">
        <w:trPr>
          <w:tblCellSpacing w:w="15" w:type="dxa"/>
        </w:trPr>
        <w:tc>
          <w:tcPr>
            <w:tcW w:w="0" w:type="auto"/>
            <w:vAlign w:val="center"/>
            <w:hideMark/>
          </w:tcPr>
          <w:p w14:paraId="73BD632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w:t>
            </w:r>
          </w:p>
        </w:tc>
        <w:tc>
          <w:tcPr>
            <w:tcW w:w="0" w:type="auto"/>
            <w:vAlign w:val="center"/>
            <w:hideMark/>
          </w:tcPr>
          <w:p w14:paraId="4390FEFF"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Final deliverable issued and client approval recorded</w:t>
            </w:r>
          </w:p>
        </w:tc>
        <w:tc>
          <w:tcPr>
            <w:tcW w:w="0" w:type="auto"/>
            <w:vAlign w:val="center"/>
            <w:hideMark/>
          </w:tcPr>
          <w:p w14:paraId="2C9348D7"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1D7D0B0E" w14:textId="77777777">
        <w:trPr>
          <w:tblCellSpacing w:w="15" w:type="dxa"/>
        </w:trPr>
        <w:tc>
          <w:tcPr>
            <w:tcW w:w="0" w:type="auto"/>
            <w:vAlign w:val="center"/>
            <w:hideMark/>
          </w:tcPr>
          <w:p w14:paraId="1D523C9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2</w:t>
            </w:r>
          </w:p>
        </w:tc>
        <w:tc>
          <w:tcPr>
            <w:tcW w:w="0" w:type="auto"/>
            <w:vAlign w:val="center"/>
            <w:hideMark/>
          </w:tcPr>
          <w:p w14:paraId="76EA371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Final invoice issued; payment received</w:t>
            </w:r>
          </w:p>
        </w:tc>
        <w:tc>
          <w:tcPr>
            <w:tcW w:w="0" w:type="auto"/>
            <w:vAlign w:val="center"/>
            <w:hideMark/>
          </w:tcPr>
          <w:p w14:paraId="124FE125"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2837717" w14:textId="77777777">
        <w:trPr>
          <w:tblCellSpacing w:w="15" w:type="dxa"/>
        </w:trPr>
        <w:tc>
          <w:tcPr>
            <w:tcW w:w="0" w:type="auto"/>
            <w:vAlign w:val="center"/>
            <w:hideMark/>
          </w:tcPr>
          <w:p w14:paraId="611DDDE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3</w:t>
            </w:r>
          </w:p>
        </w:tc>
        <w:tc>
          <w:tcPr>
            <w:tcW w:w="0" w:type="auto"/>
            <w:vAlign w:val="center"/>
            <w:hideMark/>
          </w:tcPr>
          <w:p w14:paraId="51D7654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Outcome recorded: submitted, score, result, debrief received</w:t>
            </w:r>
          </w:p>
        </w:tc>
        <w:tc>
          <w:tcPr>
            <w:tcW w:w="0" w:type="auto"/>
            <w:vAlign w:val="center"/>
            <w:hideMark/>
          </w:tcPr>
          <w:p w14:paraId="4F560826"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136AE40" w14:textId="77777777">
        <w:trPr>
          <w:tblCellSpacing w:w="15" w:type="dxa"/>
        </w:trPr>
        <w:tc>
          <w:tcPr>
            <w:tcW w:w="0" w:type="auto"/>
            <w:vAlign w:val="center"/>
            <w:hideMark/>
          </w:tcPr>
          <w:p w14:paraId="787C8CA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4</w:t>
            </w:r>
          </w:p>
        </w:tc>
        <w:tc>
          <w:tcPr>
            <w:tcW w:w="0" w:type="auto"/>
            <w:vAlign w:val="center"/>
            <w:hideMark/>
          </w:tcPr>
          <w:p w14:paraId="5D2D3165"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Win-rate and outcome data added to the performance record</w:t>
            </w:r>
          </w:p>
        </w:tc>
        <w:tc>
          <w:tcPr>
            <w:tcW w:w="0" w:type="auto"/>
            <w:vAlign w:val="center"/>
            <w:hideMark/>
          </w:tcPr>
          <w:p w14:paraId="29CCCF3A"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74BE44CC" w14:textId="77777777">
        <w:trPr>
          <w:tblCellSpacing w:w="15" w:type="dxa"/>
        </w:trPr>
        <w:tc>
          <w:tcPr>
            <w:tcW w:w="0" w:type="auto"/>
            <w:vAlign w:val="center"/>
            <w:hideMark/>
          </w:tcPr>
          <w:p w14:paraId="19C7A05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5</w:t>
            </w:r>
          </w:p>
        </w:tc>
        <w:tc>
          <w:tcPr>
            <w:tcW w:w="0" w:type="auto"/>
            <w:vAlign w:val="center"/>
            <w:hideMark/>
          </w:tcPr>
          <w:p w14:paraId="1A5F3AA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Lessons captured; templates and Evidence Bank updated</w:t>
            </w:r>
          </w:p>
        </w:tc>
        <w:tc>
          <w:tcPr>
            <w:tcW w:w="0" w:type="auto"/>
            <w:vAlign w:val="center"/>
            <w:hideMark/>
          </w:tcPr>
          <w:p w14:paraId="525A7EC6"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59249A1A" w14:textId="77777777">
        <w:trPr>
          <w:tblCellSpacing w:w="15" w:type="dxa"/>
        </w:trPr>
        <w:tc>
          <w:tcPr>
            <w:tcW w:w="0" w:type="auto"/>
            <w:vAlign w:val="center"/>
            <w:hideMark/>
          </w:tcPr>
          <w:p w14:paraId="42624244"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6</w:t>
            </w:r>
          </w:p>
        </w:tc>
        <w:tc>
          <w:tcPr>
            <w:tcW w:w="0" w:type="auto"/>
            <w:vAlign w:val="center"/>
            <w:hideMark/>
          </w:tcPr>
          <w:p w14:paraId="4E9503C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AI use record completed and filed</w:t>
            </w:r>
          </w:p>
        </w:tc>
        <w:tc>
          <w:tcPr>
            <w:tcW w:w="0" w:type="auto"/>
            <w:vAlign w:val="center"/>
            <w:hideMark/>
          </w:tcPr>
          <w:p w14:paraId="45BF5B76"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3D7BC825" w14:textId="77777777">
        <w:trPr>
          <w:tblCellSpacing w:w="15" w:type="dxa"/>
        </w:trPr>
        <w:tc>
          <w:tcPr>
            <w:tcW w:w="0" w:type="auto"/>
            <w:vAlign w:val="center"/>
            <w:hideMark/>
          </w:tcPr>
          <w:p w14:paraId="6C38C849"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7</w:t>
            </w:r>
          </w:p>
        </w:tc>
        <w:tc>
          <w:tcPr>
            <w:tcW w:w="0" w:type="auto"/>
            <w:vAlign w:val="center"/>
            <w:hideMark/>
          </w:tcPr>
          <w:p w14:paraId="5968877D"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Associate access revoked; deletion certificate obtained</w:t>
            </w:r>
          </w:p>
        </w:tc>
        <w:tc>
          <w:tcPr>
            <w:tcW w:w="0" w:type="auto"/>
            <w:vAlign w:val="center"/>
            <w:hideMark/>
          </w:tcPr>
          <w:p w14:paraId="1A22A0B4"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5AFEE1B1" w14:textId="77777777">
        <w:trPr>
          <w:tblCellSpacing w:w="15" w:type="dxa"/>
        </w:trPr>
        <w:tc>
          <w:tcPr>
            <w:tcW w:w="0" w:type="auto"/>
            <w:vAlign w:val="center"/>
            <w:hideMark/>
          </w:tcPr>
          <w:p w14:paraId="50BA1A78"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8</w:t>
            </w:r>
          </w:p>
        </w:tc>
        <w:tc>
          <w:tcPr>
            <w:tcW w:w="0" w:type="auto"/>
            <w:vAlign w:val="center"/>
            <w:hideMark/>
          </w:tcPr>
          <w:p w14:paraId="0E963E1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Client instruction on deletion or return of personal data sought and actioned</w:t>
            </w:r>
          </w:p>
        </w:tc>
        <w:tc>
          <w:tcPr>
            <w:tcW w:w="0" w:type="auto"/>
            <w:vAlign w:val="center"/>
            <w:hideMark/>
          </w:tcPr>
          <w:p w14:paraId="34D7EF2A"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2A135EC8" w14:textId="77777777">
        <w:trPr>
          <w:tblCellSpacing w:w="15" w:type="dxa"/>
        </w:trPr>
        <w:tc>
          <w:tcPr>
            <w:tcW w:w="0" w:type="auto"/>
            <w:vAlign w:val="center"/>
            <w:hideMark/>
          </w:tcPr>
          <w:p w14:paraId="7F252F6B"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9</w:t>
            </w:r>
          </w:p>
        </w:tc>
        <w:tc>
          <w:tcPr>
            <w:tcW w:w="0" w:type="auto"/>
            <w:vAlign w:val="center"/>
            <w:hideMark/>
          </w:tcPr>
          <w:p w14:paraId="5099203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File marked closed; retention date set at six years (Information Governance Manual, D.4.1)</w:t>
            </w:r>
          </w:p>
        </w:tc>
        <w:tc>
          <w:tcPr>
            <w:tcW w:w="0" w:type="auto"/>
            <w:vAlign w:val="center"/>
            <w:hideMark/>
          </w:tcPr>
          <w:p w14:paraId="1D74EF77"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1CEA7E99" w14:textId="77777777">
        <w:trPr>
          <w:tblCellSpacing w:w="15" w:type="dxa"/>
        </w:trPr>
        <w:tc>
          <w:tcPr>
            <w:tcW w:w="0" w:type="auto"/>
            <w:vAlign w:val="center"/>
            <w:hideMark/>
          </w:tcPr>
          <w:p w14:paraId="4427DB20"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10</w:t>
            </w:r>
          </w:p>
        </w:tc>
        <w:tc>
          <w:tcPr>
            <w:tcW w:w="0" w:type="auto"/>
            <w:vAlign w:val="center"/>
            <w:hideMark/>
          </w:tcPr>
          <w:p w14:paraId="480E2481"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Any complaint or circumstance notified to insurers?</w:t>
            </w:r>
          </w:p>
        </w:tc>
        <w:tc>
          <w:tcPr>
            <w:tcW w:w="0" w:type="auto"/>
            <w:vAlign w:val="center"/>
            <w:hideMark/>
          </w:tcPr>
          <w:p w14:paraId="619B4672" w14:textId="77777777" w:rsidR="00870E6C" w:rsidRPr="00870E6C" w:rsidRDefault="00870E6C" w:rsidP="00870E6C">
            <w:pPr>
              <w:rPr>
                <w:rFonts w:ascii="Times New Roman" w:eastAsia="Times New Roman" w:hAnsi="Times New Roman" w:cs="Times New Roman"/>
                <w:kern w:val="0"/>
                <w:lang w:eastAsia="en-GB"/>
                <w14:ligatures w14:val="none"/>
              </w:rPr>
            </w:pPr>
          </w:p>
        </w:tc>
      </w:tr>
      <w:tr w:rsidR="00870E6C" w:rsidRPr="00870E6C" w14:paraId="6D65F6F7" w14:textId="77777777">
        <w:trPr>
          <w:tblCellSpacing w:w="15" w:type="dxa"/>
        </w:trPr>
        <w:tc>
          <w:tcPr>
            <w:tcW w:w="0" w:type="auto"/>
            <w:vAlign w:val="center"/>
            <w:hideMark/>
          </w:tcPr>
          <w:p w14:paraId="6B077EBC"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11</w:t>
            </w:r>
          </w:p>
        </w:tc>
        <w:tc>
          <w:tcPr>
            <w:tcW w:w="0" w:type="auto"/>
            <w:vAlign w:val="center"/>
            <w:hideMark/>
          </w:tcPr>
          <w:p w14:paraId="1995D342" w14:textId="77777777" w:rsidR="00870E6C" w:rsidRPr="00870E6C" w:rsidRDefault="00870E6C" w:rsidP="00870E6C">
            <w:pPr>
              <w:rPr>
                <w:rFonts w:ascii="Times New Roman" w:eastAsia="Times New Roman" w:hAnsi="Times New Roman" w:cs="Times New Roman"/>
                <w:kern w:val="0"/>
                <w:lang w:eastAsia="en-GB"/>
                <w14:ligatures w14:val="none"/>
              </w:rPr>
            </w:pPr>
            <w:r w:rsidRPr="00870E6C">
              <w:rPr>
                <w:rFonts w:ascii="Times New Roman" w:eastAsia="Times New Roman" w:hAnsi="Times New Roman" w:cs="Times New Roman"/>
                <w:kern w:val="0"/>
                <w:lang w:eastAsia="en-GB"/>
                <w14:ligatures w14:val="none"/>
              </w:rPr>
              <w:t>Retainer conversion or follow-on service discussed</w:t>
            </w:r>
          </w:p>
        </w:tc>
        <w:tc>
          <w:tcPr>
            <w:tcW w:w="0" w:type="auto"/>
            <w:vAlign w:val="center"/>
            <w:hideMark/>
          </w:tcPr>
          <w:p w14:paraId="23D6401A" w14:textId="77777777" w:rsidR="00870E6C" w:rsidRPr="00870E6C" w:rsidRDefault="00870E6C" w:rsidP="00870E6C">
            <w:pPr>
              <w:rPr>
                <w:rFonts w:ascii="Times New Roman" w:eastAsia="Times New Roman" w:hAnsi="Times New Roman" w:cs="Times New Roman"/>
                <w:kern w:val="0"/>
                <w:lang w:eastAsia="en-GB"/>
                <w14:ligatures w14:val="none"/>
              </w:rPr>
            </w:pPr>
          </w:p>
        </w:tc>
      </w:tr>
    </w:tbl>
    <w:p w14:paraId="592A941C"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6C"/>
    <w:rsid w:val="003E4C6F"/>
    <w:rsid w:val="006E698C"/>
    <w:rsid w:val="006E783B"/>
    <w:rsid w:val="00870E6C"/>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BA5F"/>
  <w15:chartTrackingRefBased/>
  <w15:docId w15:val="{BE8DCFAA-4486-3049-864D-35EFC5FE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E6C"/>
    <w:rPr>
      <w:rFonts w:eastAsiaTheme="majorEastAsia" w:cstheme="majorBidi"/>
      <w:color w:val="272727" w:themeColor="text1" w:themeTint="D8"/>
    </w:rPr>
  </w:style>
  <w:style w:type="paragraph" w:styleId="Title">
    <w:name w:val="Title"/>
    <w:basedOn w:val="Normal"/>
    <w:next w:val="Normal"/>
    <w:link w:val="TitleChar"/>
    <w:uiPriority w:val="10"/>
    <w:qFormat/>
    <w:rsid w:val="00870E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E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E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E6C"/>
    <w:rPr>
      <w:i/>
      <w:iCs/>
      <w:color w:val="404040" w:themeColor="text1" w:themeTint="BF"/>
    </w:rPr>
  </w:style>
  <w:style w:type="paragraph" w:styleId="ListParagraph">
    <w:name w:val="List Paragraph"/>
    <w:basedOn w:val="Normal"/>
    <w:uiPriority w:val="34"/>
    <w:qFormat/>
    <w:rsid w:val="00870E6C"/>
    <w:pPr>
      <w:ind w:left="720"/>
      <w:contextualSpacing/>
    </w:pPr>
  </w:style>
  <w:style w:type="character" w:styleId="IntenseEmphasis">
    <w:name w:val="Intense Emphasis"/>
    <w:basedOn w:val="DefaultParagraphFont"/>
    <w:uiPriority w:val="21"/>
    <w:qFormat/>
    <w:rsid w:val="00870E6C"/>
    <w:rPr>
      <w:i/>
      <w:iCs/>
      <w:color w:val="0F4761" w:themeColor="accent1" w:themeShade="BF"/>
    </w:rPr>
  </w:style>
  <w:style w:type="paragraph" w:styleId="IntenseQuote">
    <w:name w:val="Intense Quote"/>
    <w:basedOn w:val="Normal"/>
    <w:next w:val="Normal"/>
    <w:link w:val="IntenseQuoteChar"/>
    <w:uiPriority w:val="30"/>
    <w:qFormat/>
    <w:rsid w:val="00870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E6C"/>
    <w:rPr>
      <w:i/>
      <w:iCs/>
      <w:color w:val="0F4761" w:themeColor="accent1" w:themeShade="BF"/>
    </w:rPr>
  </w:style>
  <w:style w:type="character" w:styleId="IntenseReference">
    <w:name w:val="Intense Reference"/>
    <w:basedOn w:val="DefaultParagraphFont"/>
    <w:uiPriority w:val="32"/>
    <w:qFormat/>
    <w:rsid w:val="00870E6C"/>
    <w:rPr>
      <w:b/>
      <w:bCs/>
      <w:smallCaps/>
      <w:color w:val="0F4761" w:themeColor="accent1" w:themeShade="BF"/>
      <w:spacing w:val="5"/>
    </w:rPr>
  </w:style>
  <w:style w:type="paragraph" w:styleId="NormalWeb">
    <w:name w:val="Normal (Web)"/>
    <w:basedOn w:val="Normal"/>
    <w:uiPriority w:val="99"/>
    <w:semiHidden/>
    <w:unhideWhenUsed/>
    <w:rsid w:val="00870E6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0E6C"/>
    <w:rPr>
      <w:b/>
      <w:bCs/>
    </w:rPr>
  </w:style>
  <w:style w:type="character" w:styleId="Emphasis">
    <w:name w:val="Emphasis"/>
    <w:basedOn w:val="DefaultParagraphFont"/>
    <w:uiPriority w:val="20"/>
    <w:qFormat/>
    <w:rsid w:val="00870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3382</Words>
  <Characters>19283</Characters>
  <Application>Microsoft Office Word</Application>
  <DocSecurity>0</DocSecurity>
  <Lines>160</Lines>
  <Paragraphs>45</Paragraphs>
  <ScaleCrop>false</ScaleCrop>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2026-09-10T22:38:00Z</dcterms:created>
  <dcterms:modified xsi:type="dcterms:W3CDTF">2026-09-10T22:47:00Z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953C32D0-8A13-45EA-A36A-8792C01EC8F0</vt:lpwstr>
  </property>
</Properties>
</file>