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SCHEDULE</w:t>
      </w:r>
    </w:p>
    <w:p>
      <w:pPr>
        <w:spacing w:after="80"/>
        <w:jc w:val="center"/>
      </w:pPr>
      <w:r>
        <w:rPr>
          <w:rFonts w:ascii="Times New Roman" w:cs="Times New Roman" w:eastAsia="Times New Roman" w:hAnsi="Times New Roman"/>
          <w:b/>
          <w:bCs/>
          <w:sz w:val="28"/>
          <w:szCs w:val="28"/>
        </w:rPr>
        <w:t xml:space="preserve">INTELLECTUAL PROPERTY</w:t>
      </w:r>
    </w:p>
    <w:p>
      <w:pPr>
        <w:spacing w:after="360"/>
        <w:jc w:val="center"/>
      </w:pPr>
      <w:r>
        <w:rPr>
          <w:rFonts w:ascii="Times New Roman" w:cs="Times New Roman" w:eastAsia="Times New Roman" w:hAnsi="Times New Roman"/>
          <w:i/>
          <w:iCs/>
          <w:sz w:val="20"/>
          <w:szCs w:val="20"/>
        </w:rPr>
        <w:t xml:space="preserve">(to the Terms of Engagement of Marhana &amp; Co Consulting Ltd)</w:t>
      </w:r>
    </w:p>
    <w:p>
      <w:pPr>
        <w:spacing w:after="200"/>
      </w:pPr>
      <w:r>
        <w:rPr>
          <w:sz w:val="22"/>
          <w:szCs w:val="22"/>
        </w:rPr>
        <w:t xml:space="preserve">This Schedule forms part of, and is incorporated into, the Terms of Engagement between Marhana &amp; Co Consulting Ltd (the "</w:t>
      </w:r>
      <w:r>
        <w:rPr>
          <w:b/>
          <w:bCs/>
          <w:sz w:val="22"/>
          <w:szCs w:val="22"/>
        </w:rPr>
        <w:t xml:space="preserve">Consultant</w:t>
      </w:r>
      <w:r>
        <w:rPr>
          <w:sz w:val="22"/>
          <w:szCs w:val="22"/>
        </w:rPr>
        <w:t xml:space="preserve">") and the Client. In the event of any conflict between this Schedule and the main body of the Terms of Engagement on the subject of intellectual property, the provisions of this Schedule shall prevail.</w:t>
      </w:r>
    </w:p>
    <w:p>
      <w:pPr>
        <w:spacing w:after="160" w:before="280"/>
      </w:pPr>
      <w:r>
        <w:rPr>
          <w:b/>
          <w:bCs/>
          <w:sz w:val="24"/>
          <w:szCs w:val="24"/>
        </w:rPr>
        <w:t xml:space="preserve">1. DEFINITIONS</w:t>
      </w:r>
    </w:p>
    <w:p>
      <w:pPr>
        <w:spacing w:after="120"/>
      </w:pPr>
      <w:r>
        <w:rPr>
          <w:sz w:val="22"/>
          <w:szCs w:val="22"/>
        </w:rPr>
        <w:t xml:space="preserve">1.1  In this Schedule the following expressions shall have the following meanings:</w:t>
      </w:r>
    </w:p>
    <w:p>
      <w:pPr>
        <w:spacing w:after="100"/>
      </w:pPr>
      <w:r>
        <w:rPr>
          <w:b/>
          <w:bCs/>
          <w:sz w:val="22"/>
          <w:szCs w:val="22"/>
        </w:rPr>
        <w:t xml:space="preserve">"Company Materials"</w:t>
      </w:r>
      <w:r>
        <w:rPr>
          <w:sz w:val="22"/>
          <w:szCs w:val="22"/>
        </w:rPr>
        <w:t xml:space="preserve"> means all templates, precedents, model responses, question banks, checklists, style guides, methodologies, scoring frameworks (including the Bid Fit Score framework and all scorecards, weightings and decision criteria comprised therein), Evidence Bank structures and formats, compliance matrices, software, databases, generic content, know-how, processes and tools of the Consultant, whether existing at the date of the Engagement or developed, adapted or improved at any time thereafter (including any improvements made in the course of an Engagement), together with all Intellectual Property Rights subsisting therein.</w:t>
      </w:r>
    </w:p>
    <w:p>
      <w:pPr>
        <w:spacing w:after="100"/>
      </w:pPr>
      <w:r>
        <w:rPr>
          <w:b/>
          <w:bCs/>
          <w:sz w:val="22"/>
          <w:szCs w:val="22"/>
        </w:rPr>
        <w:t xml:space="preserve">"Client Materials"</w:t>
      </w:r>
      <w:r>
        <w:rPr>
          <w:sz w:val="22"/>
          <w:szCs w:val="22"/>
        </w:rPr>
        <w:t xml:space="preserve"> means all documents, data, information, figures, calculations, specifications, technical content, policies, accreditations, certificates, personnel records, insurance documentation, case studies and other materials supplied to the Consultant by or on behalf of the Client.</w:t>
      </w:r>
    </w:p>
    <w:p>
      <w:pPr>
        <w:spacing w:after="100"/>
      </w:pPr>
      <w:r>
        <w:rPr>
          <w:b/>
          <w:bCs/>
          <w:sz w:val="22"/>
          <w:szCs w:val="22"/>
        </w:rPr>
        <w:t xml:space="preserve">"Deliverable"</w:t>
      </w:r>
      <w:r>
        <w:rPr>
          <w:sz w:val="22"/>
          <w:szCs w:val="22"/>
        </w:rPr>
        <w:t xml:space="preserve"> means any tender response, PQQ submission, social value statement, financial model, evidence bank instance populated with Client Materials, debrief analysis, mobilisation plan or other finished work product specifically prepared for the Client under an Engagement and released to the Client.</w:t>
      </w:r>
    </w:p>
    <w:p>
      <w:pPr>
        <w:spacing w:after="200"/>
      </w:pPr>
      <w:r>
        <w:rPr>
          <w:b/>
          <w:bCs/>
          <w:sz w:val="22"/>
          <w:szCs w:val="22"/>
        </w:rPr>
        <w:t xml:space="preserve">"Intellectual Property Rights"</w:t>
      </w:r>
      <w:r>
        <w:rPr>
          <w:sz w:val="22"/>
          <w:szCs w:val="22"/>
        </w:rPr>
        <w:t xml:space="preserve"> means patents, rights to inventions, copyright and related rights, trade marks, business names and domain names, rights in get-up, goodwill and the right to sue for passing off, rights in designs,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pPr>
        <w:spacing w:after="160" w:before="280"/>
      </w:pPr>
      <w:r>
        <w:rPr>
          <w:b/>
          <w:bCs/>
          <w:sz w:val="24"/>
          <w:szCs w:val="24"/>
        </w:rPr>
        <w:t xml:space="preserve">2. OWNERSHIP OF INTELLECTUAL PROPERTY</w:t>
      </w:r>
    </w:p>
    <w:p>
      <w:pPr>
        <w:spacing w:after="120"/>
      </w:pPr>
      <w:r>
        <w:rPr>
          <w:sz w:val="22"/>
          <w:szCs w:val="22"/>
        </w:rPr>
        <w:t xml:space="preserve">2.1  Company Materials.  All Intellectual Property Rights in and to the Company Materials shall remain the sole and exclusive property of the Consultant. Nothing in the Terms of Engagement or this Schedule shall operate to transfer any ownership of Company Materials to the Client.</w:t>
      </w:r>
    </w:p>
    <w:p>
      <w:pPr>
        <w:spacing w:after="120"/>
      </w:pPr>
      <w:r>
        <w:rPr>
          <w:sz w:val="22"/>
          <w:szCs w:val="22"/>
        </w:rPr>
        <w:t xml:space="preserve">2.2  Client Materials.  All Intellectual Property Rights in and to the Client Materials shall remain the sole and exclusive property of the Client (or the Client’s licensors). The Client grants the Consultant a non-exclusive, royalty-free, non-transferable licence to use the Client Materials solely for the purpose of performing the Services under the relevant Engagement.</w:t>
      </w:r>
    </w:p>
    <w:p>
      <w:pPr>
        <w:spacing w:after="120"/>
      </w:pPr>
      <w:r>
        <w:rPr>
          <w:sz w:val="22"/>
          <w:szCs w:val="22"/>
        </w:rPr>
        <w:t xml:space="preserve">2.3  Deliverables.  Upon full payment of all fees due in respect of an Engagement, the Consultant assigns to the Client all Intellectual Property Rights in the specific Deliverable prepared for that Engagement, subject always to the Consultant’s continuing ownership of the underlying Company Materials incorporated therein.</w:t>
      </w:r>
    </w:p>
    <w:p>
      <w:pPr>
        <w:spacing w:after="200"/>
      </w:pPr>
      <w:r>
        <w:rPr>
          <w:sz w:val="22"/>
          <w:szCs w:val="22"/>
        </w:rPr>
        <w:t xml:space="preserve">2.4  For the avoidance of doubt, the assignment in clause 2.3 does not include any assignment of, or licence to use (beyond the limited licence in clause 3), the Company Materials, methodologies, frameworks, templates or know-how used to create the Deliverable.</w:t>
      </w:r>
    </w:p>
    <w:p>
      <w:pPr>
        <w:spacing w:after="160" w:before="280"/>
      </w:pPr>
      <w:r>
        <w:rPr>
          <w:b/>
          <w:bCs/>
          <w:sz w:val="24"/>
          <w:szCs w:val="24"/>
        </w:rPr>
        <w:t xml:space="preserve">3. LIMITED LICENCE TO THE CLIENT</w:t>
      </w:r>
    </w:p>
    <w:p>
      <w:pPr>
        <w:spacing w:after="120"/>
      </w:pPr>
      <w:r>
        <w:rPr>
          <w:sz w:val="22"/>
          <w:szCs w:val="22"/>
        </w:rPr>
        <w:t xml:space="preserve">3.1  The Consultant grants the Client a non-exclusive, non-transferable, non-sublicensable, royalty-free licence to use those elements of the Company Materials that are necessarily embodied in a Deliverable, solely for the purpose of:</w:t>
      </w:r>
    </w:p>
    <w:p>
      <w:pPr>
        <w:spacing w:after="80"/>
        <w:ind w:left="360"/>
      </w:pPr>
      <w:r>
        <w:rPr>
          <w:sz w:val="22"/>
          <w:szCs w:val="22"/>
        </w:rPr>
        <w:t xml:space="preserve">(a)  submitting the Deliverable to the relevant Contracting Authority; and</w:t>
      </w:r>
    </w:p>
    <w:p>
      <w:pPr>
        <w:spacing w:after="200"/>
        <w:ind w:left="360"/>
      </w:pPr>
      <w:r>
        <w:rPr>
          <w:sz w:val="22"/>
          <w:szCs w:val="22"/>
        </w:rPr>
        <w:t xml:space="preserve">(b)  the Client’s internal business purposes in connection with the specific opportunity or contract to which the Deliverable relates.</w:t>
      </w:r>
    </w:p>
    <w:p>
      <w:pPr>
        <w:spacing w:after="200"/>
      </w:pPr>
      <w:r>
        <w:rPr>
          <w:sz w:val="22"/>
          <w:szCs w:val="22"/>
        </w:rPr>
        <w:t xml:space="preserve">3.2  The Client shall not, and shall not permit any third party to, reverse-engineer, decompile, copy, adapt, modify, reproduce, distribute, commercialise or create derivative works from any Company Materials, except to the limited extent necessary to exercise the licence in clause 3.1.</w:t>
      </w:r>
    </w:p>
    <w:p>
      <w:pPr>
        <w:spacing w:after="160" w:before="280"/>
      </w:pPr>
      <w:r>
        <w:rPr>
          <w:b/>
          <w:bCs/>
          <w:sz w:val="24"/>
          <w:szCs w:val="24"/>
        </w:rPr>
        <w:t xml:space="preserve">4. EVIDENCE BANK DEVELOPMENT</w:t>
      </w:r>
    </w:p>
    <w:p>
      <w:pPr>
        <w:spacing w:after="120"/>
      </w:pPr>
      <w:r>
        <w:rPr>
          <w:sz w:val="22"/>
          <w:szCs w:val="22"/>
        </w:rPr>
        <w:t xml:space="preserve">4.1  Where the Services include Evidence Bank Development:</w:t>
      </w:r>
    </w:p>
    <w:p>
      <w:pPr>
        <w:spacing w:after="80"/>
        <w:ind w:left="360"/>
      </w:pPr>
      <w:r>
        <w:rPr>
          <w:sz w:val="22"/>
          <w:szCs w:val="22"/>
        </w:rPr>
        <w:t xml:space="preserve">(a)  the structure, taxonomy, indexing methodology, templates and formatting of the Evidence Bank constitute Company Materials and remain the property of the Consultant;</w:t>
      </w:r>
    </w:p>
    <w:p>
      <w:pPr>
        <w:spacing w:after="80"/>
        <w:ind w:left="360"/>
      </w:pPr>
      <w:r>
        <w:rPr>
          <w:sz w:val="22"/>
          <w:szCs w:val="22"/>
        </w:rPr>
        <w:t xml:space="preserve">(b)  the Client Materials populated into the Evidence Bank remain the property of the Client;</w:t>
      </w:r>
    </w:p>
    <w:p>
      <w:pPr>
        <w:spacing w:after="200"/>
        <w:ind w:left="360"/>
      </w:pPr>
      <w:r>
        <w:rPr>
          <w:sz w:val="22"/>
          <w:szCs w:val="22"/>
        </w:rPr>
        <w:t xml:space="preserve">(c)  upon full payment, the Client receives a perpetual, non-exclusive licence to use the populated Evidence Bank instance for its own internal purposes, including future tender submissions, but may not commercialise, license or transfer the underlying structure or methodology to any third party.</w:t>
      </w:r>
    </w:p>
    <w:p>
      <w:pPr>
        <w:spacing w:after="160" w:before="280"/>
      </w:pPr>
      <w:r>
        <w:rPr>
          <w:b/>
          <w:bCs/>
          <w:sz w:val="24"/>
          <w:szCs w:val="24"/>
        </w:rPr>
        <w:t xml:space="preserve">5. MORAL RIGHTS AND FURTHER ASSURANCE</w:t>
      </w:r>
    </w:p>
    <w:p>
      <w:pPr>
        <w:spacing w:after="120"/>
      </w:pPr>
      <w:r>
        <w:rPr>
          <w:sz w:val="22"/>
          <w:szCs w:val="22"/>
        </w:rPr>
        <w:t xml:space="preserve">5.1  To the extent permitted by law, the Consultant waives (and shall procure that its personnel and associates waive) any moral rights in the Deliverables in favour of the Client.</w:t>
      </w:r>
    </w:p>
    <w:p>
      <w:pPr>
        <w:spacing w:after="200"/>
      </w:pPr>
      <w:r>
        <w:rPr>
          <w:sz w:val="22"/>
          <w:szCs w:val="22"/>
        </w:rPr>
        <w:t xml:space="preserve">5.2  Each party shall execute all such documents and do all such acts as may reasonably be required to give effect to the ownership and licence provisions of this Schedule.</w:t>
      </w:r>
    </w:p>
    <w:p>
      <w:pPr>
        <w:spacing w:after="160" w:before="280"/>
      </w:pPr>
      <w:r>
        <w:rPr>
          <w:b/>
          <w:bCs/>
          <w:sz w:val="24"/>
          <w:szCs w:val="24"/>
        </w:rPr>
        <w:t xml:space="preserve">6. THIRD-PARTY INFRINGEMENT</w:t>
      </w:r>
    </w:p>
    <w:p>
      <w:pPr>
        <w:spacing w:after="200"/>
      </w:pPr>
      <w:r>
        <w:rPr>
          <w:sz w:val="22"/>
          <w:szCs w:val="22"/>
        </w:rPr>
        <w:t xml:space="preserve">6.1  The Client warrants that the Client Materials do not infringe the Intellectual Property Rights of any third party. The Consultant warrants that the Company Materials, when used in accordance with this Schedule, do not infringe the Intellectual Property Rights of any third party.</w:t>
      </w:r>
    </w:p>
    <w:p>
      <w:pPr>
        <w:spacing w:after="200" w:before="400"/>
      </w:pPr>
      <w:r>
        <w:rPr>
          <w:sz w:val="22"/>
          <w:szCs w:val="22"/>
        </w:rPr>
        <w:t xml:space="preserve">This Schedule is incorporated into the Terms of Engagement and takes effect on the date of the Engagement Particulars to which it is attached.</w:t>
      </w:r>
    </w:p>
    <w:p>
      <w:pPr>
        <w:spacing w:after="80" w:before="300"/>
      </w:pPr>
      <w:r>
        <w:rPr>
          <w:i/>
          <w:iCs/>
          <w:sz w:val="20"/>
          <w:szCs w:val="20"/>
        </w:rPr>
        <w:t xml:space="preserve">Signed for and on behalf of</w:t>
      </w:r>
    </w:p>
    <w:p>
      <w:pPr>
        <w:spacing w:after="40"/>
      </w:pPr>
      <w:r>
        <w:rPr>
          <w:b/>
          <w:bCs/>
          <w:sz w:val="22"/>
          <w:szCs w:val="22"/>
        </w:rPr>
        <w:t xml:space="preserve">MARHANA &amp; CO CONSULTING LTD</w:t>
      </w:r>
    </w:p>
    <w:p>
      <w:pPr>
        <w:spacing w:after="40" w:before="200"/>
      </w:pPr>
      <w:r>
        <w:rPr>
          <w:sz w:val="22"/>
          <w:szCs w:val="22"/>
        </w:rPr>
        <w:t xml:space="preserve">Signature: _______________________________</w:t>
      </w:r>
    </w:p>
    <w:p>
      <w:pPr>
        <w:spacing w:after="40"/>
      </w:pPr>
      <w:r>
        <w:rPr>
          <w:sz w:val="22"/>
          <w:szCs w:val="22"/>
        </w:rPr>
        <w:t xml:space="preserve">Name: ___________________________________</w:t>
      </w:r>
    </w:p>
    <w:p>
      <w:pPr>
        <w:spacing w:after="40"/>
      </w:pPr>
      <w:r>
        <w:rPr>
          <w:sz w:val="22"/>
          <w:szCs w:val="22"/>
        </w:rPr>
        <w:t xml:space="preserve">Position: ________________________________</w:t>
      </w:r>
    </w:p>
    <w:p>
      <w:pPr>
        <w:spacing w:after="200"/>
      </w:pPr>
      <w:r>
        <w:rPr>
          <w:sz w:val="22"/>
          <w:szCs w:val="22"/>
        </w:rPr>
        <w:t xml:space="preserve">Date: ____________________________________</w:t>
      </w:r>
    </w:p>
    <w:p>
      <w:pPr>
        <w:spacing w:after="80" w:before="300"/>
      </w:pPr>
      <w:r>
        <w:rPr>
          <w:i/>
          <w:iCs/>
          <w:sz w:val="20"/>
          <w:szCs w:val="20"/>
        </w:rPr>
        <w:t xml:space="preserve">Signed for and on behalf of</w:t>
      </w:r>
    </w:p>
    <w:p>
      <w:pPr>
        <w:spacing w:after="40"/>
      </w:pPr>
      <w:r>
        <w:rPr>
          <w:b/>
          <w:bCs/>
          <w:sz w:val="22"/>
          <w:szCs w:val="22"/>
        </w:rPr>
        <w:t xml:space="preserve">THE CLIENT</w:t>
      </w:r>
    </w:p>
    <w:p>
      <w:pPr>
        <w:spacing w:after="40" w:before="200"/>
      </w:pPr>
      <w:r>
        <w:rPr>
          <w:sz w:val="22"/>
          <w:szCs w:val="22"/>
        </w:rPr>
        <w:t xml:space="preserve">Signature: _______________________________</w:t>
      </w:r>
    </w:p>
    <w:p>
      <w:pPr>
        <w:spacing w:after="40"/>
      </w:pPr>
      <w:r>
        <w:rPr>
          <w:sz w:val="22"/>
          <w:szCs w:val="22"/>
        </w:rPr>
        <w:t xml:space="preserve">Name: ___________________________________</w:t>
      </w:r>
    </w:p>
    <w:p>
      <w:pPr>
        <w:spacing w:after="40"/>
      </w:pPr>
      <w:r>
        <w:rPr>
          <w:sz w:val="22"/>
          <w:szCs w:val="22"/>
        </w:rPr>
        <w:t xml:space="preserve">Position: ________________________________</w:t>
      </w:r>
    </w:p>
    <w:p>
      <w:pPr>
        <w:spacing w:after="200"/>
      </w:pPr>
      <w:r>
        <w:rPr>
          <w:sz w:val="22"/>
          <w:szCs w:val="22"/>
        </w:rPr>
        <w:t xml:space="preserve">Date: ____________________________________</w:t>
      </w:r>
    </w:p>
    <w:p>
      <w:pPr>
        <w:spacing w:before="400"/>
      </w:pPr>
      <w:r>
        <w:rPr>
          <w:b/>
          <w:bCs/>
          <w:color w:val="666666"/>
          <w:sz w:val="18"/>
          <w:szCs w:val="18"/>
        </w:rPr>
        <w:t xml:space="preserve">END OF INTELLECTUAL PROPERTY SCHEDULE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Confidential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of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r>
      <w:rPr>
        <w:rFonts w:ascii="Times New Roman" w:cs="Times New Roman" w:eastAsia="Times New Roman" w:hAnsi="Times New Roman"/>
        <w:color w:val="666666"/>
        <w:sz w:val="16"/>
        <w:szCs w:val="16"/>
      </w:rPr>
      <w:t xml:space="preserve">  |  Schedule to Terms of Engagement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6" w:space="8"/>
      </w:pBdr>
    </w:pPr>
    <w:r>
      <w:rPr>
        <w:rFonts w:ascii="Times New Roman" w:cs="Times New Roman" w:eastAsia="Times New Roman" w:hAnsi="Times New Roman"/>
        <w:b/>
        <w:bCs/>
        <w:sz w:val="18"/>
        <w:szCs w:val="18"/>
      </w:rPr>
      <w:t xml:space="preserve">MARHANA &amp; CO CONSULTING LTD</w:t>
    </w:r>
    <w:r>
      <w:rPr>
        <w:rFonts w:ascii="Times New Roman" w:cs="Times New Roman" w:eastAsia="Times New Roman" w:hAnsi="Times New Roman"/>
        <w:color w:val="666666"/>
        <w:sz w:val="18"/>
        <w:szCs w:val="18"/>
      </w:rPr>
      <w:t xml:space="preserve">  |  Intellectual Property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2026-09-10T23:00:24.939Z</dcterms:created>
  <dcterms:modified xsi:type="dcterms:W3CDTF">2026-09-10T23:00:24.939Z</dcterms:modified>
</cp:coreProperties>
</file>

<file path=docProps/custom.xml><?xml version="1.0" encoding="utf-8"?>
<Properties xmlns="http://schemas.openxmlformats.org/officeDocument/2006/custom-properties" xmlns:vt="http://schemas.openxmlformats.org/officeDocument/2006/docPropsVTypes"/>
</file>