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9D03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INTERNAL — SHAREABLE WITH DIRECTORS, ASSOCIATES AND FUTURE STAFF</w:t>
      </w:r>
    </w:p>
    <w:p w14:paraId="42F64611"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FORMS AND RECORDS REGISTER</w:t>
      </w:r>
    </w:p>
    <w:p w14:paraId="7CEAE3D2"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MARHANA &amp; CO CONSULTING LTD</w:t>
      </w:r>
    </w:p>
    <w:p w14:paraId="5A32F3D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Every form, notice, register, checklist and log in the document set — what it is, who fills it in, when, and why it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984"/>
      </w:tblGrid>
      <w:tr w:rsidR="009E2C69" w:rsidRPr="009E2C69" w14:paraId="5EB0EEB6" w14:textId="77777777">
        <w:trPr>
          <w:tblHeader/>
          <w:tblCellSpacing w:w="15" w:type="dxa"/>
        </w:trPr>
        <w:tc>
          <w:tcPr>
            <w:tcW w:w="0" w:type="auto"/>
            <w:vAlign w:val="center"/>
            <w:hideMark/>
          </w:tcPr>
          <w:p w14:paraId="6FC13F04" w14:textId="77777777" w:rsidR="009E2C69" w:rsidRPr="009E2C69" w:rsidRDefault="009E2C69" w:rsidP="009E2C69">
            <w:pPr>
              <w:rPr>
                <w:rFonts w:ascii="Times New Roman" w:eastAsia="Times New Roman" w:hAnsi="Times New Roman" w:cs="Times New Roman"/>
                <w:kern w:val="0"/>
                <w:lang w:eastAsia="en-GB"/>
                <w14:ligatures w14:val="none"/>
              </w:rPr>
            </w:pPr>
          </w:p>
        </w:tc>
        <w:tc>
          <w:tcPr>
            <w:tcW w:w="0" w:type="auto"/>
            <w:vAlign w:val="center"/>
            <w:hideMark/>
          </w:tcPr>
          <w:p w14:paraId="639B7A55" w14:textId="77777777" w:rsidR="009E2C69" w:rsidRPr="009E2C69" w:rsidRDefault="009E2C69" w:rsidP="009E2C69">
            <w:pPr>
              <w:jc w:val="center"/>
              <w:rPr>
                <w:rFonts w:ascii="Times New Roman" w:eastAsia="Times New Roman" w:hAnsi="Times New Roman" w:cs="Times New Roman"/>
                <w:kern w:val="0"/>
                <w:sz w:val="20"/>
                <w:szCs w:val="20"/>
                <w:lang w:eastAsia="en-GB"/>
                <w14:ligatures w14:val="none"/>
              </w:rPr>
            </w:pPr>
          </w:p>
        </w:tc>
      </w:tr>
      <w:tr w:rsidR="009E2C69" w:rsidRPr="009E2C69" w14:paraId="5CF2976A" w14:textId="77777777">
        <w:trPr>
          <w:tblCellSpacing w:w="15" w:type="dxa"/>
        </w:trPr>
        <w:tc>
          <w:tcPr>
            <w:tcW w:w="0" w:type="auto"/>
            <w:vAlign w:val="center"/>
            <w:hideMark/>
          </w:tcPr>
          <w:p w14:paraId="44C2A2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DOCUMENT OWNER</w:t>
            </w:r>
          </w:p>
        </w:tc>
        <w:tc>
          <w:tcPr>
            <w:tcW w:w="0" w:type="auto"/>
            <w:vAlign w:val="center"/>
            <w:hideMark/>
          </w:tcPr>
          <w:p w14:paraId="79D4349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 OWNER NAME], [DOCUMENT OWNER ROLE]</w:t>
            </w:r>
          </w:p>
        </w:tc>
      </w:tr>
      <w:tr w:rsidR="009E2C69" w:rsidRPr="009E2C69" w14:paraId="26434E93" w14:textId="77777777">
        <w:trPr>
          <w:tblCellSpacing w:w="15" w:type="dxa"/>
        </w:trPr>
        <w:tc>
          <w:tcPr>
            <w:tcW w:w="0" w:type="auto"/>
            <w:vAlign w:val="center"/>
            <w:hideMark/>
          </w:tcPr>
          <w:p w14:paraId="61A7A2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VERSION</w:t>
            </w:r>
          </w:p>
        </w:tc>
        <w:tc>
          <w:tcPr>
            <w:tcW w:w="0" w:type="auto"/>
            <w:vAlign w:val="center"/>
            <w:hideMark/>
          </w:tcPr>
          <w:p w14:paraId="770F6FD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[VERSION NUMBER]</w:t>
            </w:r>
          </w:p>
        </w:tc>
      </w:tr>
      <w:tr w:rsidR="009E2C69" w:rsidRPr="009E2C69" w14:paraId="198B8672" w14:textId="77777777">
        <w:trPr>
          <w:tblCellSpacing w:w="15" w:type="dxa"/>
        </w:trPr>
        <w:tc>
          <w:tcPr>
            <w:tcW w:w="0" w:type="auto"/>
            <w:vAlign w:val="center"/>
            <w:hideMark/>
          </w:tcPr>
          <w:p w14:paraId="7F2A16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LAST REVIEWED</w:t>
            </w:r>
          </w:p>
        </w:tc>
        <w:tc>
          <w:tcPr>
            <w:tcW w:w="0" w:type="auto"/>
            <w:vAlign w:val="center"/>
            <w:hideMark/>
          </w:tcPr>
          <w:p w14:paraId="0CAB0FD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[DATE]</w:t>
            </w:r>
          </w:p>
        </w:tc>
      </w:tr>
      <w:tr w:rsidR="009E2C69" w:rsidRPr="009E2C69" w14:paraId="03302863" w14:textId="77777777">
        <w:trPr>
          <w:tblCellSpacing w:w="15" w:type="dxa"/>
        </w:trPr>
        <w:tc>
          <w:tcPr>
            <w:tcW w:w="0" w:type="auto"/>
            <w:vAlign w:val="center"/>
            <w:hideMark/>
          </w:tcPr>
          <w:p w14:paraId="18B187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PURPOSE</w:t>
            </w:r>
          </w:p>
        </w:tc>
        <w:tc>
          <w:tcPr>
            <w:tcW w:w="0" w:type="auto"/>
            <w:vAlign w:val="center"/>
            <w:hideMark/>
          </w:tcPr>
          <w:p w14:paraId="6D94DE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 that anyone in the business can find the right form, knows who completes it and when, and understands why it exists</w:t>
            </w:r>
          </w:p>
        </w:tc>
      </w:tr>
    </w:tbl>
    <w:p w14:paraId="698A09A5"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284FAD76">
          <v:rect id="_x0000_i1052" alt="" style="width:451.3pt;height:.05pt;mso-width-percent:0;mso-height-percent:0;mso-width-percent:0;mso-height-percent:0" o:hralign="center" o:hrstd="t" o:hr="t" fillcolor="#a0a0a0" stroked="f"/>
        </w:pict>
      </w:r>
    </w:p>
    <w:p w14:paraId="6FA0FB2C"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HOW TO USE THIS DOCUMENT</w:t>
      </w:r>
    </w:p>
    <w:p w14:paraId="0DD0BDF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legal agreements say what must happen. The forms in this register are how it actually happens. There are sixty-seven of them across the set, and they fall into six kinds:</w:t>
      </w:r>
    </w:p>
    <w:p w14:paraId="1C14BE05"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Notices</w:t>
      </w:r>
      <w:r w:rsidRPr="009E2C69">
        <w:rPr>
          <w:rFonts w:ascii="Times New Roman" w:eastAsia="Times New Roman" w:hAnsi="Times New Roman" w:cs="Times New Roman"/>
          <w:kern w:val="0"/>
          <w:lang w:eastAsia="en-GB"/>
          <w14:ligatures w14:val="none"/>
        </w:rPr>
        <w:t xml:space="preserve"> — served on a person, usually with a deadline attached. Getting the deadline wrong has automatic consequences.</w:t>
      </w:r>
    </w:p>
    <w:p w14:paraId="62CA8102"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Deeds and letters</w:t>
      </w:r>
      <w:r w:rsidRPr="009E2C69">
        <w:rPr>
          <w:rFonts w:ascii="Times New Roman" w:eastAsia="Times New Roman" w:hAnsi="Times New Roman" w:cs="Times New Roman"/>
          <w:kern w:val="0"/>
          <w:lang w:eastAsia="en-GB"/>
          <w14:ligatures w14:val="none"/>
        </w:rPr>
        <w:t xml:space="preserve"> — signed documents creating or recording obligations.</w:t>
      </w:r>
    </w:p>
    <w:p w14:paraId="0DC4169A"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Registers</w:t>
      </w:r>
      <w:r w:rsidRPr="009E2C69">
        <w:rPr>
          <w:rFonts w:ascii="Times New Roman" w:eastAsia="Times New Roman" w:hAnsi="Times New Roman" w:cs="Times New Roman"/>
          <w:kern w:val="0"/>
          <w:lang w:eastAsia="en-GB"/>
          <w14:ligatures w14:val="none"/>
        </w:rPr>
        <w:t xml:space="preserve"> — kept continuously and reviewed monthly. A register with gaps is worse than no register, because it looks maintained and is not.</w:t>
      </w:r>
    </w:p>
    <w:p w14:paraId="36A3C280"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Checklists</w:t>
      </w:r>
      <w:r w:rsidRPr="009E2C69">
        <w:rPr>
          <w:rFonts w:ascii="Times New Roman" w:eastAsia="Times New Roman" w:hAnsi="Times New Roman" w:cs="Times New Roman"/>
          <w:kern w:val="0"/>
          <w:lang w:eastAsia="en-GB"/>
          <w14:ligatures w14:val="none"/>
        </w:rPr>
        <w:t xml:space="preserve"> — worked through at a specific moment, then filed as evidence that it was done.</w:t>
      </w:r>
    </w:p>
    <w:p w14:paraId="436976F3"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Logs</w:t>
      </w:r>
      <w:r w:rsidRPr="009E2C69">
        <w:rPr>
          <w:rFonts w:ascii="Times New Roman" w:eastAsia="Times New Roman" w:hAnsi="Times New Roman" w:cs="Times New Roman"/>
          <w:kern w:val="0"/>
          <w:lang w:eastAsia="en-GB"/>
          <w14:ligatures w14:val="none"/>
        </w:rPr>
        <w:t xml:space="preserve"> — filled in when something happens, and kept whether or not the something was serious.</w:t>
      </w:r>
    </w:p>
    <w:p w14:paraId="400528EF"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Records</w:t>
      </w:r>
      <w:r w:rsidRPr="009E2C69">
        <w:rPr>
          <w:rFonts w:ascii="Times New Roman" w:eastAsia="Times New Roman" w:hAnsi="Times New Roman" w:cs="Times New Roman"/>
          <w:kern w:val="0"/>
          <w:lang w:eastAsia="en-GB"/>
          <w14:ligatures w14:val="none"/>
        </w:rPr>
        <w:t xml:space="preserve"> — evidence created once and updated when circumstances change.</w:t>
      </w:r>
    </w:p>
    <w:p w14:paraId="21003EC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rule running through all of them: </w:t>
      </w:r>
      <w:r w:rsidRPr="009E2C69">
        <w:rPr>
          <w:rFonts w:ascii="Times New Roman" w:eastAsia="Times New Roman" w:hAnsi="Times New Roman" w:cs="Times New Roman"/>
          <w:b/>
          <w:bCs/>
          <w:kern w:val="0"/>
          <w:lang w:eastAsia="en-GB"/>
          <w14:ligatures w14:val="none"/>
        </w:rPr>
        <w:t>if it is not written down, it did not happen.</w:t>
      </w:r>
      <w:r w:rsidRPr="009E2C69">
        <w:rPr>
          <w:rFonts w:ascii="Times New Roman" w:eastAsia="Times New Roman" w:hAnsi="Times New Roman" w:cs="Times New Roman"/>
          <w:kern w:val="0"/>
          <w:lang w:eastAsia="en-GB"/>
          <w14:ligatures w14:val="none"/>
        </w:rPr>
        <w:t xml:space="preserve"> A conflict check performed but not recorded has no evidential value. A compliance step taken but not documented cannot be shown to a contracting authority, an insurer or the ICO.</w:t>
      </w:r>
    </w:p>
    <w:p w14:paraId="2176207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Section 8 is the quick answer to "which form do I need right now".</w:t>
      </w:r>
    </w:p>
    <w:p w14:paraId="4BC8D8A3"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15B5CBF7">
          <v:rect id="_x0000_i1051" alt="" style="width:451.3pt;height:.05pt;mso-width-percent:0;mso-height-percent:0;mso-width-percent:0;mso-height-percent:0" o:hralign="center" o:hrstd="t" o:hr="t" fillcolor="#a0a0a0" stroked="f"/>
        </w:pict>
      </w:r>
    </w:p>
    <w:p w14:paraId="732BC9C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1. NOTICES WITH DEADLINES — GET THESE WRONG AND SOMETHING HAPPENS AUTOMATICALLY</w:t>
      </w:r>
    </w:p>
    <w:p w14:paraId="71E85B4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These matter more than anything else in this register. Each has a time limit which, if missed, produces a consequence you cannot then argue your way out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053"/>
        <w:gridCol w:w="1204"/>
        <w:gridCol w:w="1245"/>
        <w:gridCol w:w="1822"/>
        <w:gridCol w:w="2147"/>
      </w:tblGrid>
      <w:tr w:rsidR="009E2C69" w:rsidRPr="009E2C69" w14:paraId="499FF3C0" w14:textId="77777777">
        <w:trPr>
          <w:tblHeader/>
          <w:tblCellSpacing w:w="15" w:type="dxa"/>
        </w:trPr>
        <w:tc>
          <w:tcPr>
            <w:tcW w:w="0" w:type="auto"/>
            <w:vAlign w:val="center"/>
            <w:hideMark/>
          </w:tcPr>
          <w:p w14:paraId="7A020B4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3B7893D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1BCB82B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6963168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SERVES IT</w:t>
            </w:r>
          </w:p>
        </w:tc>
        <w:tc>
          <w:tcPr>
            <w:tcW w:w="0" w:type="auto"/>
            <w:vAlign w:val="center"/>
            <w:hideMark/>
          </w:tcPr>
          <w:p w14:paraId="1964F82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DEADLINE</w:t>
            </w:r>
          </w:p>
        </w:tc>
        <w:tc>
          <w:tcPr>
            <w:tcW w:w="0" w:type="auto"/>
            <w:vAlign w:val="center"/>
            <w:hideMark/>
          </w:tcPr>
          <w:p w14:paraId="51912E0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WHAT HAPPENS IF IT IS MISSED</w:t>
            </w:r>
          </w:p>
        </w:tc>
      </w:tr>
      <w:tr w:rsidR="009E2C69" w:rsidRPr="009E2C69" w14:paraId="57F645AC" w14:textId="77777777">
        <w:trPr>
          <w:tblCellSpacing w:w="15" w:type="dxa"/>
        </w:trPr>
        <w:tc>
          <w:tcPr>
            <w:tcW w:w="0" w:type="auto"/>
            <w:vAlign w:val="center"/>
            <w:hideMark/>
          </w:tcPr>
          <w:p w14:paraId="1856D67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w:t>
            </w:r>
          </w:p>
        </w:tc>
        <w:tc>
          <w:tcPr>
            <w:tcW w:w="0" w:type="auto"/>
            <w:vAlign w:val="center"/>
            <w:hideMark/>
          </w:tcPr>
          <w:p w14:paraId="566EFC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Leaver Notice</w:t>
            </w:r>
          </w:p>
        </w:tc>
        <w:tc>
          <w:tcPr>
            <w:tcW w:w="0" w:type="auto"/>
            <w:vAlign w:val="center"/>
            <w:hideMark/>
          </w:tcPr>
          <w:p w14:paraId="7AD325F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7</w:t>
            </w:r>
          </w:p>
        </w:tc>
        <w:tc>
          <w:tcPr>
            <w:tcW w:w="0" w:type="auto"/>
            <w:vAlign w:val="center"/>
            <w:hideMark/>
          </w:tcPr>
          <w:p w14:paraId="116358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2B5870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28 days</w:t>
            </w:r>
            <w:r w:rsidRPr="009E2C69">
              <w:rPr>
                <w:rFonts w:ascii="Times New Roman" w:eastAsia="Times New Roman" w:hAnsi="Times New Roman" w:cs="Times New Roman"/>
                <w:kern w:val="0"/>
                <w:lang w:eastAsia="en-GB"/>
                <w14:ligatures w14:val="none"/>
              </w:rPr>
              <w:t xml:space="preserve"> from the date the director ceased to hold office</w:t>
            </w:r>
          </w:p>
        </w:tc>
        <w:tc>
          <w:tcPr>
            <w:tcW w:w="0" w:type="auto"/>
            <w:vAlign w:val="center"/>
            <w:hideMark/>
          </w:tcPr>
          <w:p w14:paraId="7AE901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17.4 makes the leaver a Good Leaver automatically. He keeps accrued profit share and commission, and you lose the discretion to decide otherwise. Diarise this the day anyone leaves.</w:t>
            </w:r>
          </w:p>
        </w:tc>
      </w:tr>
      <w:tr w:rsidR="009E2C69" w:rsidRPr="009E2C69" w14:paraId="657EF537" w14:textId="77777777">
        <w:trPr>
          <w:tblCellSpacing w:w="15" w:type="dxa"/>
        </w:trPr>
        <w:tc>
          <w:tcPr>
            <w:tcW w:w="0" w:type="auto"/>
            <w:vAlign w:val="center"/>
            <w:hideMark/>
          </w:tcPr>
          <w:p w14:paraId="1DDBC6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1.2</w:t>
            </w:r>
          </w:p>
        </w:tc>
        <w:tc>
          <w:tcPr>
            <w:tcW w:w="0" w:type="auto"/>
            <w:vAlign w:val="center"/>
            <w:hideMark/>
          </w:tcPr>
          <w:p w14:paraId="135EEA1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Performance Notice</w:t>
            </w:r>
          </w:p>
        </w:tc>
        <w:tc>
          <w:tcPr>
            <w:tcW w:w="0" w:type="auto"/>
            <w:vAlign w:val="center"/>
            <w:hideMark/>
          </w:tcPr>
          <w:p w14:paraId="3B4786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5</w:t>
            </w:r>
          </w:p>
        </w:tc>
        <w:tc>
          <w:tcPr>
            <w:tcW w:w="0" w:type="auto"/>
            <w:vAlign w:val="center"/>
            <w:hideMark/>
          </w:tcPr>
          <w:p w14:paraId="421283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or the other two directors jointly if the notice is on the Founder</w:t>
            </w:r>
          </w:p>
        </w:tc>
        <w:tc>
          <w:tcPr>
            <w:tcW w:w="0" w:type="auto"/>
            <w:vAlign w:val="center"/>
            <w:hideMark/>
          </w:tcPr>
          <w:p w14:paraId="5B5765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Remediation Period must be </w:t>
            </w:r>
            <w:r w:rsidRPr="009E2C69">
              <w:rPr>
                <w:rFonts w:ascii="Times New Roman" w:eastAsia="Times New Roman" w:hAnsi="Times New Roman" w:cs="Times New Roman"/>
                <w:b/>
                <w:bCs/>
                <w:kern w:val="0"/>
                <w:lang w:eastAsia="en-GB"/>
                <w14:ligatures w14:val="none"/>
              </w:rPr>
              <w:t>not less than 21 days</w:t>
            </w:r>
          </w:p>
        </w:tc>
        <w:tc>
          <w:tcPr>
            <w:tcW w:w="0" w:type="auto"/>
            <w:vAlign w:val="center"/>
            <w:hideMark/>
          </w:tcPr>
          <w:p w14:paraId="42D44C4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shorter period invalidates the notice and every consequence flowing from it, including any forfeiture and any removal from office.</w:t>
            </w:r>
          </w:p>
        </w:tc>
      </w:tr>
      <w:tr w:rsidR="009E2C69" w:rsidRPr="009E2C69" w14:paraId="2983FD12" w14:textId="77777777">
        <w:trPr>
          <w:tblCellSpacing w:w="15" w:type="dxa"/>
        </w:trPr>
        <w:tc>
          <w:tcPr>
            <w:tcW w:w="0" w:type="auto"/>
            <w:vAlign w:val="center"/>
            <w:hideMark/>
          </w:tcPr>
          <w:p w14:paraId="52922C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1.3</w:t>
            </w:r>
          </w:p>
        </w:tc>
        <w:tc>
          <w:tcPr>
            <w:tcW w:w="0" w:type="auto"/>
            <w:vAlign w:val="center"/>
            <w:hideMark/>
          </w:tcPr>
          <w:p w14:paraId="4CBD403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Determination on expiry of Remediation Period</w:t>
            </w:r>
          </w:p>
        </w:tc>
        <w:tc>
          <w:tcPr>
            <w:tcW w:w="0" w:type="auto"/>
            <w:vAlign w:val="center"/>
            <w:hideMark/>
          </w:tcPr>
          <w:p w14:paraId="1355093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6</w:t>
            </w:r>
          </w:p>
        </w:tc>
        <w:tc>
          <w:tcPr>
            <w:tcW w:w="0" w:type="auto"/>
            <w:vAlign w:val="center"/>
            <w:hideMark/>
          </w:tcPr>
          <w:p w14:paraId="404F8C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 above</w:t>
            </w:r>
          </w:p>
        </w:tc>
        <w:tc>
          <w:tcPr>
            <w:tcW w:w="0" w:type="auto"/>
            <w:vAlign w:val="center"/>
            <w:hideMark/>
          </w:tcPr>
          <w:p w14:paraId="46D2A3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After the Remediation Period expires, having considered representations</w:t>
            </w:r>
          </w:p>
        </w:tc>
        <w:tc>
          <w:tcPr>
            <w:tcW w:w="0" w:type="auto"/>
            <w:vAlign w:val="center"/>
            <w:hideMark/>
          </w:tcPr>
          <w:p w14:paraId="19D55E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 unexplained forfeiture is the easiest kind to challenge. The determination must state how the forfeited proportion was calculated and why it is proportionate.</w:t>
            </w:r>
          </w:p>
        </w:tc>
      </w:tr>
      <w:tr w:rsidR="009E2C69" w:rsidRPr="009E2C69" w14:paraId="7EF384E2" w14:textId="77777777">
        <w:trPr>
          <w:tblCellSpacing w:w="15" w:type="dxa"/>
        </w:trPr>
        <w:tc>
          <w:tcPr>
            <w:tcW w:w="0" w:type="auto"/>
            <w:vAlign w:val="center"/>
            <w:hideMark/>
          </w:tcPr>
          <w:p w14:paraId="4790519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1.4</w:t>
            </w:r>
          </w:p>
        </w:tc>
        <w:tc>
          <w:tcPr>
            <w:tcW w:w="0" w:type="auto"/>
            <w:vAlign w:val="center"/>
            <w:hideMark/>
          </w:tcPr>
          <w:p w14:paraId="0695D9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Material Decision — written proposal</w:t>
            </w:r>
          </w:p>
        </w:tc>
        <w:tc>
          <w:tcPr>
            <w:tcW w:w="0" w:type="auto"/>
            <w:vAlign w:val="center"/>
            <w:hideMark/>
          </w:tcPr>
          <w:p w14:paraId="3DCE9B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2</w:t>
            </w:r>
          </w:p>
        </w:tc>
        <w:tc>
          <w:tcPr>
            <w:tcW w:w="0" w:type="auto"/>
            <w:vAlign w:val="center"/>
            <w:hideMark/>
          </w:tcPr>
          <w:p w14:paraId="3A288D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director</w:t>
            </w:r>
          </w:p>
        </w:tc>
        <w:tc>
          <w:tcPr>
            <w:tcW w:w="0" w:type="auto"/>
            <w:vAlign w:val="center"/>
            <w:hideMark/>
          </w:tcPr>
          <w:p w14:paraId="40CC07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w:t>
            </w:r>
            <w:r w:rsidRPr="009E2C69">
              <w:rPr>
                <w:rFonts w:ascii="Times New Roman" w:eastAsia="Times New Roman" w:hAnsi="Times New Roman" w:cs="Times New Roman"/>
                <w:b/>
                <w:bCs/>
                <w:kern w:val="0"/>
                <w:lang w:eastAsia="en-GB"/>
                <w14:ligatures w14:val="none"/>
              </w:rPr>
              <w:t>7-day</w:t>
            </w:r>
            <w:r w:rsidRPr="009E2C69">
              <w:rPr>
                <w:rFonts w:ascii="Times New Roman" w:eastAsia="Times New Roman" w:hAnsi="Times New Roman" w:cs="Times New Roman"/>
                <w:kern w:val="0"/>
                <w:lang w:eastAsia="en-GB"/>
                <w14:ligatures w14:val="none"/>
              </w:rPr>
              <w:t xml:space="preserve"> clock under clause 8.4 runs from service</w:t>
            </w:r>
          </w:p>
        </w:tc>
        <w:tc>
          <w:tcPr>
            <w:tcW w:w="0" w:type="auto"/>
            <w:vAlign w:val="center"/>
            <w:hideMark/>
          </w:tcPr>
          <w:p w14:paraId="6E48EE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Serve it properly under clause 29. A message in a group chat is not service, and the seven days will not have started.</w:t>
            </w:r>
          </w:p>
        </w:tc>
      </w:tr>
      <w:tr w:rsidR="009E2C69" w:rsidRPr="009E2C69" w14:paraId="5D5B493B" w14:textId="77777777">
        <w:trPr>
          <w:tblCellSpacing w:w="15" w:type="dxa"/>
        </w:trPr>
        <w:tc>
          <w:tcPr>
            <w:tcW w:w="0" w:type="auto"/>
            <w:vAlign w:val="center"/>
            <w:hideMark/>
          </w:tcPr>
          <w:p w14:paraId="5F3DDC3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1.5</w:t>
            </w:r>
          </w:p>
        </w:tc>
        <w:tc>
          <w:tcPr>
            <w:tcW w:w="0" w:type="auto"/>
            <w:vAlign w:val="center"/>
            <w:hideMark/>
          </w:tcPr>
          <w:p w14:paraId="63353B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Material Decision — Founder's casting determination</w:t>
            </w:r>
          </w:p>
        </w:tc>
        <w:tc>
          <w:tcPr>
            <w:tcW w:w="0" w:type="auto"/>
            <w:vAlign w:val="center"/>
            <w:hideMark/>
          </w:tcPr>
          <w:p w14:paraId="0C25BB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4</w:t>
            </w:r>
          </w:p>
        </w:tc>
        <w:tc>
          <w:tcPr>
            <w:tcW w:w="0" w:type="auto"/>
            <w:vAlign w:val="center"/>
            <w:hideMark/>
          </w:tcPr>
          <w:p w14:paraId="1E990B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065BF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After 7 days without unanimous consent</w:t>
            </w:r>
          </w:p>
        </w:tc>
        <w:tc>
          <w:tcPr>
            <w:tcW w:w="0" w:type="auto"/>
            <w:vAlign w:val="center"/>
            <w:hideMark/>
          </w:tcPr>
          <w:p w14:paraId="0A6846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Check clause 8.5 first. A determination outside those limits is not binding and invites a section 994 unfair prejudice petition.</w:t>
            </w:r>
          </w:p>
        </w:tc>
      </w:tr>
      <w:tr w:rsidR="009E2C69" w:rsidRPr="009E2C69" w14:paraId="2C5A9D16" w14:textId="77777777">
        <w:trPr>
          <w:tblCellSpacing w:w="15" w:type="dxa"/>
        </w:trPr>
        <w:tc>
          <w:tcPr>
            <w:tcW w:w="0" w:type="auto"/>
            <w:vAlign w:val="center"/>
            <w:hideMark/>
          </w:tcPr>
          <w:p w14:paraId="121549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1.6</w:t>
            </w:r>
          </w:p>
        </w:tc>
        <w:tc>
          <w:tcPr>
            <w:tcW w:w="0" w:type="auto"/>
            <w:vAlign w:val="center"/>
            <w:hideMark/>
          </w:tcPr>
          <w:p w14:paraId="55B86B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Personal data breach notification to a client</w:t>
            </w:r>
          </w:p>
        </w:tc>
        <w:tc>
          <w:tcPr>
            <w:tcW w:w="0" w:type="auto"/>
            <w:vAlign w:val="center"/>
            <w:hideMark/>
          </w:tcPr>
          <w:p w14:paraId="1F04F9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Procedure at file 08, D.5; content at file 05, Annex C</w:t>
            </w:r>
          </w:p>
        </w:tc>
        <w:tc>
          <w:tcPr>
            <w:tcW w:w="0" w:type="auto"/>
            <w:vAlign w:val="center"/>
            <w:hideMark/>
          </w:tcPr>
          <w:p w14:paraId="1CE51F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1CF5AC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48 hours</w:t>
            </w:r>
            <w:r w:rsidRPr="009E2C69">
              <w:rPr>
                <w:rFonts w:ascii="Times New Roman" w:eastAsia="Times New Roman" w:hAnsi="Times New Roman" w:cs="Times New Roman"/>
                <w:kern w:val="0"/>
                <w:lang w:eastAsia="en-GB"/>
                <w14:ligatures w14:val="none"/>
              </w:rPr>
              <w:t xml:space="preserve"> from becoming aware, where you are the processor</w:t>
            </w:r>
          </w:p>
        </w:tc>
        <w:tc>
          <w:tcPr>
            <w:tcW w:w="0" w:type="auto"/>
            <w:vAlign w:val="center"/>
            <w:hideMark/>
          </w:tcPr>
          <w:p w14:paraId="17E44C9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of the Data Processing Agreement and of the client's own regulatory position.</w:t>
            </w:r>
          </w:p>
        </w:tc>
      </w:tr>
      <w:tr w:rsidR="009E2C69" w:rsidRPr="009E2C69" w14:paraId="15C0761A" w14:textId="77777777">
        <w:trPr>
          <w:tblCellSpacing w:w="15" w:type="dxa"/>
        </w:trPr>
        <w:tc>
          <w:tcPr>
            <w:tcW w:w="0" w:type="auto"/>
            <w:vAlign w:val="center"/>
            <w:hideMark/>
          </w:tcPr>
          <w:p w14:paraId="2B492E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1.7</w:t>
            </w:r>
          </w:p>
        </w:tc>
        <w:tc>
          <w:tcPr>
            <w:tcW w:w="0" w:type="auto"/>
            <w:vAlign w:val="center"/>
            <w:hideMark/>
          </w:tcPr>
          <w:p w14:paraId="317F741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Personal data breach notification to the ICO</w:t>
            </w:r>
          </w:p>
        </w:tc>
        <w:tc>
          <w:tcPr>
            <w:tcW w:w="0" w:type="auto"/>
            <w:vAlign w:val="center"/>
            <w:hideMark/>
          </w:tcPr>
          <w:p w14:paraId="019543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D.5.4.2</w:t>
            </w:r>
          </w:p>
        </w:tc>
        <w:tc>
          <w:tcPr>
            <w:tcW w:w="0" w:type="auto"/>
            <w:vAlign w:val="center"/>
            <w:hideMark/>
          </w:tcPr>
          <w:p w14:paraId="565E0C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10482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72 hours</w:t>
            </w:r>
            <w:r w:rsidRPr="009E2C69">
              <w:rPr>
                <w:rFonts w:ascii="Times New Roman" w:eastAsia="Times New Roman" w:hAnsi="Times New Roman" w:cs="Times New Roman"/>
                <w:kern w:val="0"/>
                <w:lang w:eastAsia="en-GB"/>
                <w14:ligatures w14:val="none"/>
              </w:rPr>
              <w:t xml:space="preserve"> from becoming aware, where you are the controller and there is a risk</w:t>
            </w:r>
          </w:p>
        </w:tc>
        <w:tc>
          <w:tcPr>
            <w:tcW w:w="0" w:type="auto"/>
            <w:vAlign w:val="center"/>
            <w:hideMark/>
          </w:tcPr>
          <w:p w14:paraId="5514B0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clock starts at awareness, not at the end of your investigation. An incomplete notification followed by an update beats a late one.</w:t>
            </w:r>
          </w:p>
        </w:tc>
      </w:tr>
      <w:tr w:rsidR="009E2C69" w:rsidRPr="009E2C69" w14:paraId="3D18BB75" w14:textId="77777777">
        <w:trPr>
          <w:tblCellSpacing w:w="15" w:type="dxa"/>
        </w:trPr>
        <w:tc>
          <w:tcPr>
            <w:tcW w:w="0" w:type="auto"/>
            <w:vAlign w:val="center"/>
            <w:hideMark/>
          </w:tcPr>
          <w:p w14:paraId="137F81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1.8</w:t>
            </w:r>
          </w:p>
        </w:tc>
        <w:tc>
          <w:tcPr>
            <w:tcW w:w="0" w:type="auto"/>
            <w:vAlign w:val="center"/>
            <w:hideMark/>
          </w:tcPr>
          <w:p w14:paraId="1D9D1A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Insurer notification of a complaint or circumstance</w:t>
            </w:r>
          </w:p>
        </w:tc>
        <w:tc>
          <w:tcPr>
            <w:tcW w:w="0" w:type="auto"/>
            <w:vAlign w:val="center"/>
            <w:hideMark/>
          </w:tcPr>
          <w:p w14:paraId="2F1E4E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C.5</w:t>
            </w:r>
          </w:p>
        </w:tc>
        <w:tc>
          <w:tcPr>
            <w:tcW w:w="0" w:type="auto"/>
            <w:vAlign w:val="center"/>
            <w:hideMark/>
          </w:tcPr>
          <w:p w14:paraId="38B7BB3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B95A7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the period in the policy — check it and write it down</w:t>
            </w:r>
          </w:p>
        </w:tc>
        <w:tc>
          <w:tcPr>
            <w:tcW w:w="0" w:type="auto"/>
            <w:vAlign w:val="center"/>
            <w:hideMark/>
          </w:tcPr>
          <w:p w14:paraId="3739BD1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Professional indemnity cover is claims-made. Late notification can void it entirely. Notify on doubt; it costs nothing.</w:t>
            </w:r>
          </w:p>
        </w:tc>
      </w:tr>
      <w:tr w:rsidR="009E2C69" w:rsidRPr="009E2C69" w14:paraId="3737E269" w14:textId="77777777">
        <w:trPr>
          <w:tblCellSpacing w:w="15" w:type="dxa"/>
        </w:trPr>
        <w:tc>
          <w:tcPr>
            <w:tcW w:w="0" w:type="auto"/>
            <w:vAlign w:val="center"/>
            <w:hideMark/>
          </w:tcPr>
          <w:p w14:paraId="78DC3AA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1.9</w:t>
            </w:r>
          </w:p>
        </w:tc>
        <w:tc>
          <w:tcPr>
            <w:tcW w:w="0" w:type="auto"/>
            <w:vAlign w:val="center"/>
            <w:hideMark/>
          </w:tcPr>
          <w:p w14:paraId="33C275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Complaint acknowledgement</w:t>
            </w:r>
          </w:p>
        </w:tc>
        <w:tc>
          <w:tcPr>
            <w:tcW w:w="0" w:type="auto"/>
            <w:vAlign w:val="center"/>
            <w:hideMark/>
          </w:tcPr>
          <w:p w14:paraId="462F0E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C.3.3</w:t>
            </w:r>
          </w:p>
        </w:tc>
        <w:tc>
          <w:tcPr>
            <w:tcW w:w="0" w:type="auto"/>
            <w:vAlign w:val="center"/>
            <w:hideMark/>
          </w:tcPr>
          <w:p w14:paraId="163F84C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Handling director</w:t>
            </w:r>
          </w:p>
        </w:tc>
        <w:tc>
          <w:tcPr>
            <w:tcW w:w="0" w:type="auto"/>
            <w:vAlign w:val="center"/>
            <w:hideMark/>
          </w:tcPr>
          <w:p w14:paraId="1DD4A0A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 working days</w:t>
            </w:r>
          </w:p>
        </w:tc>
        <w:tc>
          <w:tcPr>
            <w:tcW w:w="0" w:type="auto"/>
            <w:vAlign w:val="center"/>
            <w:hideMark/>
          </w:tcPr>
          <w:p w14:paraId="012303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Not a legal deadline, but a complaint answered in days rarely becomes a claim and one ignored for weeks usually does.</w:t>
            </w:r>
          </w:p>
        </w:tc>
      </w:tr>
      <w:tr w:rsidR="009E2C69" w:rsidRPr="009E2C69" w14:paraId="42CC04D0" w14:textId="77777777">
        <w:trPr>
          <w:tblCellSpacing w:w="15" w:type="dxa"/>
        </w:trPr>
        <w:tc>
          <w:tcPr>
            <w:tcW w:w="0" w:type="auto"/>
            <w:vAlign w:val="center"/>
            <w:hideMark/>
          </w:tcPr>
          <w:p w14:paraId="75F598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1.10</w:t>
            </w:r>
          </w:p>
        </w:tc>
        <w:tc>
          <w:tcPr>
            <w:tcW w:w="0" w:type="auto"/>
            <w:vAlign w:val="center"/>
            <w:hideMark/>
          </w:tcPr>
          <w:p w14:paraId="69F4FB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Complaint substantive response</w:t>
            </w:r>
          </w:p>
        </w:tc>
        <w:tc>
          <w:tcPr>
            <w:tcW w:w="0" w:type="auto"/>
            <w:vAlign w:val="center"/>
            <w:hideMark/>
          </w:tcPr>
          <w:p w14:paraId="7666C1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C.3.5</w:t>
            </w:r>
          </w:p>
        </w:tc>
        <w:tc>
          <w:tcPr>
            <w:tcW w:w="0" w:type="auto"/>
            <w:vAlign w:val="center"/>
            <w:hideMark/>
          </w:tcPr>
          <w:p w14:paraId="5F2306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Handling director</w:t>
            </w:r>
          </w:p>
        </w:tc>
        <w:tc>
          <w:tcPr>
            <w:tcW w:w="0" w:type="auto"/>
            <w:vAlign w:val="center"/>
            <w:hideMark/>
          </w:tcPr>
          <w:p w14:paraId="5DAF59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15 working days</w:t>
            </w:r>
          </w:p>
        </w:tc>
        <w:tc>
          <w:tcPr>
            <w:tcW w:w="0" w:type="auto"/>
            <w:vAlign w:val="center"/>
            <w:hideMark/>
          </w:tcPr>
          <w:p w14:paraId="2B06E6A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 above.</w:t>
            </w:r>
          </w:p>
        </w:tc>
      </w:tr>
      <w:tr w:rsidR="009E2C69" w:rsidRPr="009E2C69" w14:paraId="5B8F5FD0" w14:textId="77777777">
        <w:trPr>
          <w:tblCellSpacing w:w="15" w:type="dxa"/>
        </w:trPr>
        <w:tc>
          <w:tcPr>
            <w:tcW w:w="0" w:type="auto"/>
            <w:vAlign w:val="center"/>
            <w:hideMark/>
          </w:tcPr>
          <w:p w14:paraId="27E17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1.11</w:t>
            </w:r>
          </w:p>
        </w:tc>
        <w:tc>
          <w:tcPr>
            <w:tcW w:w="0" w:type="auto"/>
            <w:vAlign w:val="center"/>
            <w:hideMark/>
          </w:tcPr>
          <w:p w14:paraId="10E40B9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Data subject request response</w:t>
            </w:r>
          </w:p>
        </w:tc>
        <w:tc>
          <w:tcPr>
            <w:tcW w:w="0" w:type="auto"/>
            <w:vAlign w:val="center"/>
            <w:hideMark/>
          </w:tcPr>
          <w:p w14:paraId="179E6A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D.6</w:t>
            </w:r>
          </w:p>
        </w:tc>
        <w:tc>
          <w:tcPr>
            <w:tcW w:w="0" w:type="auto"/>
            <w:vAlign w:val="center"/>
            <w:hideMark/>
          </w:tcPr>
          <w:p w14:paraId="337773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88501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1 month, extendable by 2 for complex requests if the individual is told </w:t>
            </w:r>
            <w:r w:rsidRPr="009E2C69">
              <w:rPr>
                <w:rFonts w:ascii="Times New Roman" w:eastAsia="Times New Roman" w:hAnsi="Times New Roman" w:cs="Times New Roman"/>
                <w:kern w:val="0"/>
                <w:lang w:eastAsia="en-GB"/>
                <w14:ligatures w14:val="none"/>
              </w:rPr>
              <w:lastRenderedPageBreak/>
              <w:t>within the first month</w:t>
            </w:r>
          </w:p>
        </w:tc>
        <w:tc>
          <w:tcPr>
            <w:tcW w:w="0" w:type="auto"/>
            <w:vAlign w:val="center"/>
            <w:hideMark/>
          </w:tcPr>
          <w:p w14:paraId="719E28C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 xml:space="preserve">Where you are the processor, forward to the client within 1 working day and do not respond </w:t>
            </w:r>
            <w:r w:rsidRPr="009E2C69">
              <w:rPr>
                <w:rFonts w:ascii="Times New Roman" w:eastAsia="Times New Roman" w:hAnsi="Times New Roman" w:cs="Times New Roman"/>
                <w:kern w:val="0"/>
                <w:lang w:eastAsia="en-GB"/>
                <w14:ligatures w14:val="none"/>
              </w:rPr>
              <w:lastRenderedPageBreak/>
              <w:t>substantively yourself.</w:t>
            </w:r>
          </w:p>
        </w:tc>
      </w:tr>
    </w:tbl>
    <w:p w14:paraId="265BA2A1"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lastRenderedPageBreak/>
        <w:pict w14:anchorId="43F9236F">
          <v:rect id="_x0000_i1050" alt="" style="width:451.3pt;height:.05pt;mso-width-percent:0;mso-height-percent:0;mso-width-percent:0;mso-height-percent:0" o:hralign="center" o:hrstd="t" o:hr="t" fillcolor="#a0a0a0" stroked="f"/>
        </w:pict>
      </w:r>
    </w:p>
    <w:p w14:paraId="247ABBD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2. GOVERNANCE AND CORPORATE FORMS</w:t>
      </w:r>
    </w:p>
    <w:p w14:paraId="1384767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Used between the three of you, and with Companies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70"/>
        <w:gridCol w:w="1024"/>
        <w:gridCol w:w="1624"/>
        <w:gridCol w:w="1677"/>
        <w:gridCol w:w="2576"/>
      </w:tblGrid>
      <w:tr w:rsidR="009E2C69" w:rsidRPr="009E2C69" w14:paraId="4F421AC1" w14:textId="77777777">
        <w:trPr>
          <w:tblHeader/>
          <w:tblCellSpacing w:w="15" w:type="dxa"/>
        </w:trPr>
        <w:tc>
          <w:tcPr>
            <w:tcW w:w="0" w:type="auto"/>
            <w:vAlign w:val="center"/>
            <w:hideMark/>
          </w:tcPr>
          <w:p w14:paraId="5BC20494"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3D368EF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7116599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0178C05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10789205"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7C86824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4115CCAB" w14:textId="77777777">
        <w:trPr>
          <w:tblCellSpacing w:w="15" w:type="dxa"/>
        </w:trPr>
        <w:tc>
          <w:tcPr>
            <w:tcW w:w="0" w:type="auto"/>
            <w:vAlign w:val="center"/>
            <w:hideMark/>
          </w:tcPr>
          <w:p w14:paraId="36093E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w:t>
            </w:r>
          </w:p>
        </w:tc>
        <w:tc>
          <w:tcPr>
            <w:tcW w:w="0" w:type="auto"/>
            <w:vAlign w:val="center"/>
            <w:hideMark/>
          </w:tcPr>
          <w:p w14:paraId="1BB151E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Adherence</w:t>
            </w:r>
          </w:p>
        </w:tc>
        <w:tc>
          <w:tcPr>
            <w:tcW w:w="0" w:type="auto"/>
            <w:vAlign w:val="center"/>
            <w:hideMark/>
          </w:tcPr>
          <w:p w14:paraId="7CA105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w:t>
            </w:r>
          </w:p>
        </w:tc>
        <w:tc>
          <w:tcPr>
            <w:tcW w:w="0" w:type="auto"/>
            <w:vAlign w:val="center"/>
            <w:hideMark/>
          </w:tcPr>
          <w:p w14:paraId="486985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Incoming shareholder</w:t>
            </w:r>
          </w:p>
        </w:tc>
        <w:tc>
          <w:tcPr>
            <w:tcW w:w="0" w:type="auto"/>
            <w:vAlign w:val="center"/>
            <w:hideMark/>
          </w:tcPr>
          <w:p w14:paraId="132831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registration as a member</w:t>
            </w:r>
          </w:p>
        </w:tc>
        <w:tc>
          <w:tcPr>
            <w:tcW w:w="0" w:type="auto"/>
            <w:vAlign w:val="center"/>
            <w:hideMark/>
          </w:tcPr>
          <w:p w14:paraId="07FAF1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Anyone acquiring shares must be bound by the Shareholders' Agreement, or the whole structure has a hole in it. Registration is prohibited without it.</w:t>
            </w:r>
          </w:p>
        </w:tc>
      </w:tr>
      <w:tr w:rsidR="009E2C69" w:rsidRPr="009E2C69" w14:paraId="46E1FAC8" w14:textId="77777777">
        <w:trPr>
          <w:tblCellSpacing w:w="15" w:type="dxa"/>
        </w:trPr>
        <w:tc>
          <w:tcPr>
            <w:tcW w:w="0" w:type="auto"/>
            <w:vAlign w:val="center"/>
            <w:hideMark/>
          </w:tcPr>
          <w:p w14:paraId="7C5981A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2.2</w:t>
            </w:r>
          </w:p>
        </w:tc>
        <w:tc>
          <w:tcPr>
            <w:tcW w:w="0" w:type="auto"/>
            <w:vAlign w:val="center"/>
            <w:hideMark/>
          </w:tcPr>
          <w:p w14:paraId="10CFD3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Material Decision — unanimous written consent</w:t>
            </w:r>
          </w:p>
        </w:tc>
        <w:tc>
          <w:tcPr>
            <w:tcW w:w="0" w:type="auto"/>
            <w:vAlign w:val="center"/>
            <w:hideMark/>
          </w:tcPr>
          <w:p w14:paraId="0FE1D0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3</w:t>
            </w:r>
          </w:p>
        </w:tc>
        <w:tc>
          <w:tcPr>
            <w:tcW w:w="0" w:type="auto"/>
            <w:vAlign w:val="center"/>
            <w:hideMark/>
          </w:tcPr>
          <w:p w14:paraId="651152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All three directors</w:t>
            </w:r>
          </w:p>
        </w:tc>
        <w:tc>
          <w:tcPr>
            <w:tcW w:w="0" w:type="auto"/>
            <w:vAlign w:val="center"/>
            <w:hideMark/>
          </w:tcPr>
          <w:p w14:paraId="649023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When agreement is reached within 7 days</w:t>
            </w:r>
          </w:p>
        </w:tc>
        <w:tc>
          <w:tcPr>
            <w:tcW w:w="0" w:type="auto"/>
            <w:vAlign w:val="center"/>
            <w:hideMark/>
          </w:tcPr>
          <w:p w14:paraId="08ABEE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Records the decision </w:t>
            </w:r>
            <w:r w:rsidRPr="009E2C69">
              <w:rPr>
                <w:rFonts w:ascii="Times New Roman" w:eastAsia="Times New Roman" w:hAnsi="Times New Roman" w:cs="Times New Roman"/>
                <w:b/>
                <w:bCs/>
                <w:kern w:val="0"/>
                <w:lang w:eastAsia="en-GB"/>
                <w14:ligatures w14:val="none"/>
              </w:rPr>
              <w:t>as approved</w:t>
            </w:r>
            <w:r w:rsidRPr="009E2C69">
              <w:rPr>
                <w:rFonts w:ascii="Times New Roman" w:eastAsia="Times New Roman" w:hAnsi="Times New Roman" w:cs="Times New Roman"/>
                <w:kern w:val="0"/>
                <w:lang w:eastAsia="en-GB"/>
                <w14:ligatures w14:val="none"/>
              </w:rPr>
              <w:t>, not as proposed. A decision approved in vague terms is not approved.</w:t>
            </w:r>
          </w:p>
        </w:tc>
      </w:tr>
      <w:tr w:rsidR="009E2C69" w:rsidRPr="009E2C69" w14:paraId="179F71A3" w14:textId="77777777">
        <w:trPr>
          <w:tblCellSpacing w:w="15" w:type="dxa"/>
        </w:trPr>
        <w:tc>
          <w:tcPr>
            <w:tcW w:w="0" w:type="auto"/>
            <w:vAlign w:val="center"/>
            <w:hideMark/>
          </w:tcPr>
          <w:p w14:paraId="665E995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2.3</w:t>
            </w:r>
          </w:p>
        </w:tc>
        <w:tc>
          <w:tcPr>
            <w:tcW w:w="0" w:type="auto"/>
            <w:vAlign w:val="center"/>
            <w:hideMark/>
          </w:tcPr>
          <w:p w14:paraId="562D21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directors' meeting minute</w:t>
            </w:r>
          </w:p>
        </w:tc>
        <w:tc>
          <w:tcPr>
            <w:tcW w:w="0" w:type="auto"/>
            <w:vAlign w:val="center"/>
            <w:hideMark/>
          </w:tcPr>
          <w:p w14:paraId="1C5AD5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8</w:t>
            </w:r>
          </w:p>
        </w:tc>
        <w:tc>
          <w:tcPr>
            <w:tcW w:w="0" w:type="auto"/>
            <w:vAlign w:val="center"/>
            <w:hideMark/>
          </w:tcPr>
          <w:p w14:paraId="63CBFB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Chair</w:t>
            </w:r>
          </w:p>
        </w:tc>
        <w:tc>
          <w:tcPr>
            <w:tcW w:w="0" w:type="auto"/>
            <w:vAlign w:val="center"/>
            <w:hideMark/>
          </w:tcPr>
          <w:p w14:paraId="238A596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month</w:t>
            </w:r>
          </w:p>
        </w:tc>
        <w:tc>
          <w:tcPr>
            <w:tcW w:w="0" w:type="auto"/>
            <w:vAlign w:val="center"/>
            <w:hideMark/>
          </w:tcPr>
          <w:p w14:paraId="0D9491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8.6 requires a monthly meeting and minutes of it. The compliance section is a standing item, which is what stops the registers drifting.</w:t>
            </w:r>
          </w:p>
        </w:tc>
      </w:tr>
      <w:tr w:rsidR="009E2C69" w:rsidRPr="009E2C69" w14:paraId="334B624D" w14:textId="77777777">
        <w:trPr>
          <w:tblCellSpacing w:w="15" w:type="dxa"/>
        </w:trPr>
        <w:tc>
          <w:tcPr>
            <w:tcW w:w="0" w:type="auto"/>
            <w:vAlign w:val="center"/>
            <w:hideMark/>
          </w:tcPr>
          <w:p w14:paraId="5AD7374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2.4</w:t>
            </w:r>
          </w:p>
        </w:tc>
        <w:tc>
          <w:tcPr>
            <w:tcW w:w="0" w:type="auto"/>
            <w:vAlign w:val="center"/>
            <w:hideMark/>
          </w:tcPr>
          <w:p w14:paraId="0D70A0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Profit Share vesting record</w:t>
            </w:r>
          </w:p>
        </w:tc>
        <w:tc>
          <w:tcPr>
            <w:tcW w:w="0" w:type="auto"/>
            <w:vAlign w:val="center"/>
            <w:hideMark/>
          </w:tcPr>
          <w:p w14:paraId="34C70B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9</w:t>
            </w:r>
          </w:p>
        </w:tc>
        <w:tc>
          <w:tcPr>
            <w:tcW w:w="0" w:type="auto"/>
            <w:vAlign w:val="center"/>
            <w:hideMark/>
          </w:tcPr>
          <w:p w14:paraId="531E82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546E82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Updated at each accounting reference date, circulated annually</w:t>
            </w:r>
          </w:p>
        </w:tc>
        <w:tc>
          <w:tcPr>
            <w:tcW w:w="0" w:type="auto"/>
            <w:vAlign w:val="center"/>
            <w:hideMark/>
          </w:tcPr>
          <w:p w14:paraId="2E8EB1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Required by clause 4A.9. The effective profit shares must total 100%; where they do not, the difference is unvested and must be retained by the Company, not paid to anyone.</w:t>
            </w:r>
          </w:p>
        </w:tc>
      </w:tr>
      <w:tr w:rsidR="009E2C69" w:rsidRPr="009E2C69" w14:paraId="240A71BC" w14:textId="77777777">
        <w:trPr>
          <w:tblCellSpacing w:w="15" w:type="dxa"/>
        </w:trPr>
        <w:tc>
          <w:tcPr>
            <w:tcW w:w="0" w:type="auto"/>
            <w:vAlign w:val="center"/>
            <w:hideMark/>
          </w:tcPr>
          <w:p w14:paraId="6E0702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w:t>
            </w:r>
          </w:p>
        </w:tc>
        <w:tc>
          <w:tcPr>
            <w:tcW w:w="0" w:type="auto"/>
            <w:vAlign w:val="center"/>
            <w:hideMark/>
          </w:tcPr>
          <w:p w14:paraId="1DE7BE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Register of Material Decisions</w:t>
            </w:r>
          </w:p>
        </w:tc>
        <w:tc>
          <w:tcPr>
            <w:tcW w:w="0" w:type="auto"/>
            <w:vAlign w:val="center"/>
            <w:hideMark/>
          </w:tcPr>
          <w:p w14:paraId="5E91F9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10</w:t>
            </w:r>
          </w:p>
        </w:tc>
        <w:tc>
          <w:tcPr>
            <w:tcW w:w="0" w:type="auto"/>
            <w:vAlign w:val="center"/>
            <w:hideMark/>
          </w:tcPr>
          <w:p w14:paraId="210B6C1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4E3E93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each decision</w:t>
            </w:r>
          </w:p>
        </w:tc>
        <w:tc>
          <w:tcPr>
            <w:tcW w:w="0" w:type="auto"/>
            <w:vAlign w:val="center"/>
            <w:hideMark/>
          </w:tcPr>
          <w:p w14:paraId="51AAE4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seven-day mechanism produces binding outcomes. There should be one place where they all live.</w:t>
            </w:r>
          </w:p>
        </w:tc>
      </w:tr>
      <w:tr w:rsidR="009E2C69" w:rsidRPr="009E2C69" w14:paraId="27F45467" w14:textId="77777777">
        <w:trPr>
          <w:tblCellSpacing w:w="15" w:type="dxa"/>
        </w:trPr>
        <w:tc>
          <w:tcPr>
            <w:tcW w:w="0" w:type="auto"/>
            <w:vAlign w:val="center"/>
            <w:hideMark/>
          </w:tcPr>
          <w:p w14:paraId="3FB9F2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2.6</w:t>
            </w:r>
          </w:p>
        </w:tc>
        <w:tc>
          <w:tcPr>
            <w:tcW w:w="0" w:type="auto"/>
            <w:vAlign w:val="center"/>
            <w:hideMark/>
          </w:tcPr>
          <w:p w14:paraId="5BABCE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Written resolution — adoption of articles</w:t>
            </w:r>
          </w:p>
        </w:tc>
        <w:tc>
          <w:tcPr>
            <w:tcW w:w="0" w:type="auto"/>
            <w:vAlign w:val="center"/>
            <w:hideMark/>
          </w:tcPr>
          <w:p w14:paraId="692BF7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2.1</w:t>
            </w:r>
          </w:p>
        </w:tc>
        <w:tc>
          <w:tcPr>
            <w:tcW w:w="0" w:type="auto"/>
            <w:vAlign w:val="center"/>
            <w:hideMark/>
          </w:tcPr>
          <w:p w14:paraId="56B98C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as sole member</w:t>
            </w:r>
          </w:p>
        </w:tc>
        <w:tc>
          <w:tcPr>
            <w:tcW w:w="0" w:type="auto"/>
            <w:vAlign w:val="center"/>
            <w:hideMark/>
          </w:tcPr>
          <w:p w14:paraId="274819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adoption</w:t>
            </w:r>
          </w:p>
        </w:tc>
        <w:tc>
          <w:tcPr>
            <w:tcW w:w="0" w:type="auto"/>
            <w:vAlign w:val="center"/>
            <w:hideMark/>
          </w:tcPr>
          <w:p w14:paraId="141941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Must be filed at Companies House with the new articles within 15 days. Failure to file is an offence.</w:t>
            </w:r>
          </w:p>
        </w:tc>
      </w:tr>
      <w:tr w:rsidR="009E2C69" w:rsidRPr="009E2C69" w14:paraId="6FA2A127" w14:textId="77777777">
        <w:trPr>
          <w:tblCellSpacing w:w="15" w:type="dxa"/>
        </w:trPr>
        <w:tc>
          <w:tcPr>
            <w:tcW w:w="0" w:type="auto"/>
            <w:vAlign w:val="center"/>
            <w:hideMark/>
          </w:tcPr>
          <w:p w14:paraId="6356C4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2.7</w:t>
            </w:r>
          </w:p>
        </w:tc>
        <w:tc>
          <w:tcPr>
            <w:tcW w:w="0" w:type="auto"/>
            <w:vAlign w:val="center"/>
            <w:hideMark/>
          </w:tcPr>
          <w:p w14:paraId="12B43E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Board minute — adoption of the framework</w:t>
            </w:r>
          </w:p>
        </w:tc>
        <w:tc>
          <w:tcPr>
            <w:tcW w:w="0" w:type="auto"/>
            <w:vAlign w:val="center"/>
            <w:hideMark/>
          </w:tcPr>
          <w:p w14:paraId="27C1CCD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2.2</w:t>
            </w:r>
          </w:p>
        </w:tc>
        <w:tc>
          <w:tcPr>
            <w:tcW w:w="0" w:type="auto"/>
            <w:vAlign w:val="center"/>
            <w:hideMark/>
          </w:tcPr>
          <w:p w14:paraId="50DB358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Chair</w:t>
            </w:r>
          </w:p>
        </w:tc>
        <w:tc>
          <w:tcPr>
            <w:tcW w:w="0" w:type="auto"/>
            <w:vAlign w:val="center"/>
            <w:hideMark/>
          </w:tcPr>
          <w:p w14:paraId="04A27B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Once, at launch</w:t>
            </w:r>
          </w:p>
        </w:tc>
        <w:tc>
          <w:tcPr>
            <w:tcW w:w="0" w:type="auto"/>
            <w:vAlign w:val="center"/>
            <w:hideMark/>
          </w:tcPr>
          <w:p w14:paraId="686116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Records that every policy and template in this set was formally adopted and by whom. Without it they are drafts someone left on a drive.</w:t>
            </w:r>
          </w:p>
        </w:tc>
      </w:tr>
      <w:tr w:rsidR="009E2C69" w:rsidRPr="009E2C69" w14:paraId="2E5549BC" w14:textId="77777777">
        <w:trPr>
          <w:tblCellSpacing w:w="15" w:type="dxa"/>
        </w:trPr>
        <w:tc>
          <w:tcPr>
            <w:tcW w:w="0" w:type="auto"/>
            <w:vAlign w:val="center"/>
            <w:hideMark/>
          </w:tcPr>
          <w:p w14:paraId="4D0D53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2.8</w:t>
            </w:r>
          </w:p>
        </w:tc>
        <w:tc>
          <w:tcPr>
            <w:tcW w:w="0" w:type="auto"/>
            <w:vAlign w:val="center"/>
            <w:hideMark/>
          </w:tcPr>
          <w:p w14:paraId="1337D33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loan agreement</w:t>
            </w:r>
          </w:p>
        </w:tc>
        <w:tc>
          <w:tcPr>
            <w:tcW w:w="0" w:type="auto"/>
            <w:vAlign w:val="center"/>
            <w:hideMark/>
          </w:tcPr>
          <w:p w14:paraId="5FADE4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3.4</w:t>
            </w:r>
          </w:p>
        </w:tc>
        <w:tc>
          <w:tcPr>
            <w:tcW w:w="0" w:type="auto"/>
            <w:vAlign w:val="center"/>
            <w:hideMark/>
          </w:tcPr>
          <w:p w14:paraId="2D3168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and Company</w:t>
            </w:r>
          </w:p>
        </w:tc>
        <w:tc>
          <w:tcPr>
            <w:tcW w:w="0" w:type="auto"/>
            <w:vAlign w:val="center"/>
            <w:hideMark/>
          </w:tcPr>
          <w:p w14:paraId="5B7625D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the £30,000 moves, if you take the loan route</w:t>
            </w:r>
          </w:p>
        </w:tc>
        <w:tc>
          <w:tcPr>
            <w:tcW w:w="0" w:type="auto"/>
            <w:vAlign w:val="center"/>
            <w:hideMark/>
          </w:tcPr>
          <w:p w14:paraId="5E95A7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Undocumented money in the account is an undocumented director's loan. That changes the tax position on the way out and is hard to prove against other creditors.</w:t>
            </w:r>
          </w:p>
        </w:tc>
      </w:tr>
      <w:tr w:rsidR="009E2C69" w:rsidRPr="009E2C69" w14:paraId="784375A3" w14:textId="77777777">
        <w:trPr>
          <w:tblCellSpacing w:w="15" w:type="dxa"/>
        </w:trPr>
        <w:tc>
          <w:tcPr>
            <w:tcW w:w="0" w:type="auto"/>
            <w:vAlign w:val="center"/>
            <w:hideMark/>
          </w:tcPr>
          <w:p w14:paraId="18FA8E9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2.9</w:t>
            </w:r>
          </w:p>
        </w:tc>
        <w:tc>
          <w:tcPr>
            <w:tcW w:w="0" w:type="auto"/>
            <w:vAlign w:val="center"/>
            <w:hideMark/>
          </w:tcPr>
          <w:p w14:paraId="5F3CC9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Share certificate</w:t>
            </w:r>
          </w:p>
        </w:tc>
        <w:tc>
          <w:tcPr>
            <w:tcW w:w="0" w:type="auto"/>
            <w:vAlign w:val="center"/>
            <w:hideMark/>
          </w:tcPr>
          <w:p w14:paraId="3A08A9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3.5</w:t>
            </w:r>
          </w:p>
        </w:tc>
        <w:tc>
          <w:tcPr>
            <w:tcW w:w="0" w:type="auto"/>
            <w:vAlign w:val="center"/>
            <w:hideMark/>
          </w:tcPr>
          <w:p w14:paraId="7954B4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1A1AE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2 months of allotment</w:t>
            </w:r>
          </w:p>
        </w:tc>
        <w:tc>
          <w:tcPr>
            <w:tcW w:w="0" w:type="auto"/>
            <w:vAlign w:val="center"/>
            <w:hideMark/>
          </w:tcPr>
          <w:p w14:paraId="72A67E2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Section 769 Companies Act 2006.</w:t>
            </w:r>
          </w:p>
        </w:tc>
      </w:tr>
      <w:tr w:rsidR="009E2C69" w:rsidRPr="009E2C69" w14:paraId="5818672E" w14:textId="77777777">
        <w:trPr>
          <w:tblCellSpacing w:w="15" w:type="dxa"/>
        </w:trPr>
        <w:tc>
          <w:tcPr>
            <w:tcW w:w="0" w:type="auto"/>
            <w:vAlign w:val="center"/>
            <w:hideMark/>
          </w:tcPr>
          <w:p w14:paraId="4F04E0A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2.10</w:t>
            </w:r>
          </w:p>
        </w:tc>
        <w:tc>
          <w:tcPr>
            <w:tcW w:w="0" w:type="auto"/>
            <w:vAlign w:val="center"/>
            <w:hideMark/>
          </w:tcPr>
          <w:p w14:paraId="092A68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registers</w:t>
            </w:r>
          </w:p>
        </w:tc>
        <w:tc>
          <w:tcPr>
            <w:tcW w:w="0" w:type="auto"/>
            <w:vAlign w:val="center"/>
            <w:hideMark/>
          </w:tcPr>
          <w:p w14:paraId="3AF481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4.1</w:t>
            </w:r>
          </w:p>
        </w:tc>
        <w:tc>
          <w:tcPr>
            <w:tcW w:w="0" w:type="auto"/>
            <w:vAlign w:val="center"/>
            <w:hideMark/>
          </w:tcPr>
          <w:p w14:paraId="512740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69D9855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Maintained continuously</w:t>
            </w:r>
          </w:p>
        </w:tc>
        <w:tc>
          <w:tcPr>
            <w:tcW w:w="0" w:type="auto"/>
            <w:vAlign w:val="center"/>
            <w:hideMark/>
          </w:tcPr>
          <w:p w14:paraId="58DE02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Members, directors, directors' addresses, charges, PSC, minute book, interests.</w:t>
            </w:r>
          </w:p>
        </w:tc>
      </w:tr>
      <w:tr w:rsidR="009E2C69" w:rsidRPr="009E2C69" w14:paraId="65B4239D" w14:textId="77777777">
        <w:trPr>
          <w:tblCellSpacing w:w="15" w:type="dxa"/>
        </w:trPr>
        <w:tc>
          <w:tcPr>
            <w:tcW w:w="0" w:type="auto"/>
            <w:vAlign w:val="center"/>
            <w:hideMark/>
          </w:tcPr>
          <w:p w14:paraId="3B3B37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2.11</w:t>
            </w:r>
          </w:p>
        </w:tc>
        <w:tc>
          <w:tcPr>
            <w:tcW w:w="0" w:type="auto"/>
            <w:vAlign w:val="center"/>
            <w:hideMark/>
          </w:tcPr>
          <w:p w14:paraId="69CC7F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Filing calendar</w:t>
            </w:r>
          </w:p>
        </w:tc>
        <w:tc>
          <w:tcPr>
            <w:tcW w:w="0" w:type="auto"/>
            <w:vAlign w:val="center"/>
            <w:hideMark/>
          </w:tcPr>
          <w:p w14:paraId="6551353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4.2</w:t>
            </w:r>
          </w:p>
        </w:tc>
        <w:tc>
          <w:tcPr>
            <w:tcW w:w="0" w:type="auto"/>
            <w:vAlign w:val="center"/>
            <w:hideMark/>
          </w:tcPr>
          <w:p w14:paraId="7774791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4A5570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monthly</w:t>
            </w:r>
          </w:p>
        </w:tc>
        <w:tc>
          <w:tcPr>
            <w:tcW w:w="0" w:type="auto"/>
            <w:vAlign w:val="center"/>
            <w:hideMark/>
          </w:tcPr>
          <w:p w14:paraId="4AC795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Corporation tax is payable 9 months and 1 day after the period end — </w:t>
            </w:r>
            <w:r w:rsidRPr="009E2C69">
              <w:rPr>
                <w:rFonts w:ascii="Times New Roman" w:eastAsia="Times New Roman" w:hAnsi="Times New Roman" w:cs="Times New Roman"/>
                <w:b/>
                <w:bCs/>
                <w:kern w:val="0"/>
                <w:lang w:eastAsia="en-GB"/>
                <w14:ligatures w14:val="none"/>
              </w:rPr>
              <w:t>earlier than the return is due</w:t>
            </w:r>
            <w:r w:rsidRPr="009E2C69">
              <w:rPr>
                <w:rFonts w:ascii="Times New Roman" w:eastAsia="Times New Roman" w:hAnsi="Times New Roman" w:cs="Times New Roman"/>
                <w:kern w:val="0"/>
                <w:lang w:eastAsia="en-GB"/>
                <w14:ligatures w14:val="none"/>
              </w:rPr>
              <w:t>. That catches people out.</w:t>
            </w:r>
          </w:p>
        </w:tc>
      </w:tr>
      <w:tr w:rsidR="009E2C69" w:rsidRPr="009E2C69" w14:paraId="5FED7B64" w14:textId="77777777">
        <w:trPr>
          <w:tblCellSpacing w:w="15" w:type="dxa"/>
        </w:trPr>
        <w:tc>
          <w:tcPr>
            <w:tcW w:w="0" w:type="auto"/>
            <w:vAlign w:val="center"/>
            <w:hideMark/>
          </w:tcPr>
          <w:p w14:paraId="4AC726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2.12</w:t>
            </w:r>
          </w:p>
        </w:tc>
        <w:tc>
          <w:tcPr>
            <w:tcW w:w="0" w:type="auto"/>
            <w:vAlign w:val="center"/>
            <w:hideMark/>
          </w:tcPr>
          <w:p w14:paraId="551F24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Execution sequence tracker</w:t>
            </w:r>
          </w:p>
        </w:tc>
        <w:tc>
          <w:tcPr>
            <w:tcW w:w="0" w:type="auto"/>
            <w:vAlign w:val="center"/>
            <w:hideMark/>
          </w:tcPr>
          <w:p w14:paraId="26CFBE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Part 7</w:t>
            </w:r>
          </w:p>
        </w:tc>
        <w:tc>
          <w:tcPr>
            <w:tcW w:w="0" w:type="auto"/>
            <w:vAlign w:val="center"/>
            <w:hideMark/>
          </w:tcPr>
          <w:p w14:paraId="0AC51A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69ED0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Worked through once, pre-launch</w:t>
            </w:r>
          </w:p>
        </w:tc>
        <w:tc>
          <w:tcPr>
            <w:tcW w:w="0" w:type="auto"/>
            <w:vAlign w:val="center"/>
            <w:hideMark/>
          </w:tcPr>
          <w:p w14:paraId="55C0C9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Order matters. Several documents cannot properly be signed before others exist.</w:t>
            </w:r>
          </w:p>
        </w:tc>
      </w:tr>
      <w:tr w:rsidR="009E2C69" w:rsidRPr="009E2C69" w14:paraId="43B300A6" w14:textId="77777777">
        <w:trPr>
          <w:tblCellSpacing w:w="15" w:type="dxa"/>
        </w:trPr>
        <w:tc>
          <w:tcPr>
            <w:tcW w:w="0" w:type="auto"/>
            <w:vAlign w:val="center"/>
            <w:hideMark/>
          </w:tcPr>
          <w:p w14:paraId="34A3A7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2.13</w:t>
            </w:r>
          </w:p>
        </w:tc>
        <w:tc>
          <w:tcPr>
            <w:tcW w:w="0" w:type="auto"/>
            <w:vAlign w:val="center"/>
            <w:hideMark/>
          </w:tcPr>
          <w:p w14:paraId="0565B8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Amendment (vesting)</w:t>
            </w:r>
          </w:p>
        </w:tc>
        <w:tc>
          <w:tcPr>
            <w:tcW w:w="0" w:type="auto"/>
            <w:vAlign w:val="center"/>
            <w:hideMark/>
          </w:tcPr>
          <w:p w14:paraId="2A6A8A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06, Part 1</w:t>
            </w:r>
          </w:p>
        </w:tc>
        <w:tc>
          <w:tcPr>
            <w:tcW w:w="0" w:type="auto"/>
            <w:vAlign w:val="center"/>
            <w:hideMark/>
          </w:tcPr>
          <w:p w14:paraId="5445DA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All three directors</w:t>
            </w:r>
          </w:p>
        </w:tc>
        <w:tc>
          <w:tcPr>
            <w:tcW w:w="0" w:type="auto"/>
            <w:vAlign w:val="center"/>
            <w:hideMark/>
          </w:tcPr>
          <w:p w14:paraId="16EC28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Shareholders' Agreement</w:t>
            </w:r>
          </w:p>
        </w:tc>
        <w:tc>
          <w:tcPr>
            <w:tcW w:w="0" w:type="auto"/>
            <w:vAlign w:val="center"/>
            <w:hideMark/>
          </w:tcPr>
          <w:p w14:paraId="7CEA4D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Introduces the 12-month cliff and 48-month vesting on the two 20% shares.</w:t>
            </w:r>
          </w:p>
        </w:tc>
      </w:tr>
      <w:tr w:rsidR="009E2C69" w:rsidRPr="009E2C69" w14:paraId="4ED7DB2C" w14:textId="77777777">
        <w:trPr>
          <w:tblCellSpacing w:w="15" w:type="dxa"/>
        </w:trPr>
        <w:tc>
          <w:tcPr>
            <w:tcW w:w="0" w:type="auto"/>
            <w:vAlign w:val="center"/>
            <w:hideMark/>
          </w:tcPr>
          <w:p w14:paraId="452CC4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2.14</w:t>
            </w:r>
          </w:p>
        </w:tc>
        <w:tc>
          <w:tcPr>
            <w:tcW w:w="0" w:type="auto"/>
            <w:vAlign w:val="center"/>
            <w:hideMark/>
          </w:tcPr>
          <w:p w14:paraId="617A9D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remuneration side letter</w:t>
            </w:r>
          </w:p>
        </w:tc>
        <w:tc>
          <w:tcPr>
            <w:tcW w:w="0" w:type="auto"/>
            <w:vAlign w:val="center"/>
            <w:hideMark/>
          </w:tcPr>
          <w:p w14:paraId="37F019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06, Part 2</w:t>
            </w:r>
          </w:p>
        </w:tc>
        <w:tc>
          <w:tcPr>
            <w:tcW w:w="0" w:type="auto"/>
            <w:vAlign w:val="center"/>
            <w:hideMark/>
          </w:tcPr>
          <w:p w14:paraId="111C02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Each director</w:t>
            </w:r>
          </w:p>
        </w:tc>
        <w:tc>
          <w:tcPr>
            <w:tcW w:w="0" w:type="auto"/>
            <w:vAlign w:val="center"/>
            <w:hideMark/>
          </w:tcPr>
          <w:p w14:paraId="7A9142D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Shareholders' Agreement</w:t>
            </w:r>
          </w:p>
        </w:tc>
        <w:tc>
          <w:tcPr>
            <w:tcW w:w="0" w:type="auto"/>
            <w:vAlign w:val="center"/>
            <w:hideMark/>
          </w:tcPr>
          <w:p w14:paraId="31BD865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Records in writing that year one is profit share only, that there is no salary, and that the projections are projections. Prevents "I was promised" later.</w:t>
            </w:r>
          </w:p>
        </w:tc>
      </w:tr>
    </w:tbl>
    <w:p w14:paraId="4A0014D4"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5787E7F5">
          <v:rect id="_x0000_i1049" style="width:0;height:1.5pt" o:hralign="center" o:hrstd="t" o:hr="t" fillcolor="#a0a0a0" stroked="f"/>
        </w:pict>
      </w:r>
    </w:p>
    <w:p w14:paraId="002BEDCC"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3. CLIENT ENGAGEMENT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41"/>
        <w:gridCol w:w="1359"/>
        <w:gridCol w:w="1586"/>
        <w:gridCol w:w="2210"/>
        <w:gridCol w:w="1975"/>
      </w:tblGrid>
      <w:tr w:rsidR="009E2C69" w:rsidRPr="009E2C69" w14:paraId="309D83FE" w14:textId="77777777">
        <w:trPr>
          <w:tblHeader/>
          <w:tblCellSpacing w:w="15" w:type="dxa"/>
        </w:trPr>
        <w:tc>
          <w:tcPr>
            <w:tcW w:w="0" w:type="auto"/>
            <w:vAlign w:val="center"/>
            <w:hideMark/>
          </w:tcPr>
          <w:p w14:paraId="304E6A5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4B52BDD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404A8DD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07315B8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0B91611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346DD1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37F89A70" w14:textId="77777777">
        <w:trPr>
          <w:tblCellSpacing w:w="15" w:type="dxa"/>
        </w:trPr>
        <w:tc>
          <w:tcPr>
            <w:tcW w:w="0" w:type="auto"/>
            <w:vAlign w:val="center"/>
            <w:hideMark/>
          </w:tcPr>
          <w:p w14:paraId="25DD74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w:t>
            </w:r>
          </w:p>
        </w:tc>
        <w:tc>
          <w:tcPr>
            <w:tcW w:w="0" w:type="auto"/>
            <w:vAlign w:val="center"/>
            <w:hideMark/>
          </w:tcPr>
          <w:p w14:paraId="3BD1DC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Particulars (Section A)</w:t>
            </w:r>
          </w:p>
        </w:tc>
        <w:tc>
          <w:tcPr>
            <w:tcW w:w="0" w:type="auto"/>
            <w:vAlign w:val="center"/>
            <w:hideMark/>
          </w:tcPr>
          <w:p w14:paraId="7D0BABC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A.1</w:t>
            </w:r>
          </w:p>
        </w:tc>
        <w:tc>
          <w:tcPr>
            <w:tcW w:w="0" w:type="auto"/>
            <w:vAlign w:val="center"/>
            <w:hideMark/>
          </w:tcPr>
          <w:p w14:paraId="43CA67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46F1BB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 work starts</w:t>
            </w:r>
          </w:p>
        </w:tc>
        <w:tc>
          <w:tcPr>
            <w:tcW w:w="0" w:type="auto"/>
            <w:vAlign w:val="center"/>
            <w:hideMark/>
          </w:tcPr>
          <w:p w14:paraId="42A466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commercial specifics of the engagement. Never issue with the liability cap left blank.</w:t>
            </w:r>
          </w:p>
        </w:tc>
      </w:tr>
      <w:tr w:rsidR="009E2C69" w:rsidRPr="009E2C69" w14:paraId="34037D9A" w14:textId="77777777">
        <w:trPr>
          <w:tblCellSpacing w:w="15" w:type="dxa"/>
        </w:trPr>
        <w:tc>
          <w:tcPr>
            <w:tcW w:w="0" w:type="auto"/>
            <w:vAlign w:val="center"/>
            <w:hideMark/>
          </w:tcPr>
          <w:p w14:paraId="574996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3.2</w:t>
            </w:r>
          </w:p>
        </w:tc>
        <w:tc>
          <w:tcPr>
            <w:tcW w:w="0" w:type="auto"/>
            <w:vAlign w:val="center"/>
            <w:hideMark/>
          </w:tcPr>
          <w:p w14:paraId="3D216D3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Short-form engagement letter</w:t>
            </w:r>
          </w:p>
        </w:tc>
        <w:tc>
          <w:tcPr>
            <w:tcW w:w="0" w:type="auto"/>
            <w:vAlign w:val="center"/>
            <w:hideMark/>
          </w:tcPr>
          <w:p w14:paraId="466800E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1</w:t>
            </w:r>
          </w:p>
        </w:tc>
        <w:tc>
          <w:tcPr>
            <w:tcW w:w="0" w:type="auto"/>
            <w:vAlign w:val="center"/>
            <w:hideMark/>
          </w:tcPr>
          <w:p w14:paraId="1EF80FB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2D7F98E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Fit Score, Bid Readiness and Debrief work under £500, no personal data</w:t>
            </w:r>
          </w:p>
        </w:tc>
        <w:tc>
          <w:tcPr>
            <w:tcW w:w="0" w:type="auto"/>
            <w:vAlign w:val="center"/>
            <w:hideMark/>
          </w:tcPr>
          <w:p w14:paraId="1318A8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Twenty pages of terms for a £150 assessment loses the engagement, and that product is the entry to your whole funnel. Do not use it for authorship, Evidence Bank work, consortium bids or retainers.</w:t>
            </w:r>
          </w:p>
        </w:tc>
      </w:tr>
      <w:tr w:rsidR="009E2C69" w:rsidRPr="009E2C69" w14:paraId="4E11F810" w14:textId="77777777">
        <w:trPr>
          <w:tblCellSpacing w:w="15" w:type="dxa"/>
        </w:trPr>
        <w:tc>
          <w:tcPr>
            <w:tcW w:w="0" w:type="auto"/>
            <w:vAlign w:val="center"/>
            <w:hideMark/>
          </w:tcPr>
          <w:p w14:paraId="04F642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3.3</w:t>
            </w:r>
          </w:p>
        </w:tc>
        <w:tc>
          <w:tcPr>
            <w:tcW w:w="0" w:type="auto"/>
            <w:vAlign w:val="center"/>
            <w:hideMark/>
          </w:tcPr>
          <w:p w14:paraId="765E51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Retainer particulars</w:t>
            </w:r>
          </w:p>
        </w:tc>
        <w:tc>
          <w:tcPr>
            <w:tcW w:w="0" w:type="auto"/>
            <w:vAlign w:val="center"/>
            <w:hideMark/>
          </w:tcPr>
          <w:p w14:paraId="1B7793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R.A</w:t>
            </w:r>
          </w:p>
        </w:tc>
        <w:tc>
          <w:tcPr>
            <w:tcW w:w="0" w:type="auto"/>
            <w:vAlign w:val="center"/>
            <w:hideMark/>
          </w:tcPr>
          <w:p w14:paraId="555FBE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551A13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starting a retainer</w:t>
            </w:r>
          </w:p>
        </w:tc>
        <w:tc>
          <w:tcPr>
            <w:tcW w:w="0" w:type="auto"/>
            <w:vAlign w:val="center"/>
            <w:hideMark/>
          </w:tcPr>
          <w:p w14:paraId="64633C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Sets the monthly allowances. Paragraphs R.C.2 and R.C.3 are what stop a retainer being scope-crept until it is unprofitable.</w:t>
            </w:r>
          </w:p>
        </w:tc>
      </w:tr>
      <w:tr w:rsidR="009E2C69" w:rsidRPr="009E2C69" w14:paraId="443FF80E" w14:textId="77777777">
        <w:trPr>
          <w:tblCellSpacing w:w="15" w:type="dxa"/>
        </w:trPr>
        <w:tc>
          <w:tcPr>
            <w:tcW w:w="0" w:type="auto"/>
            <w:vAlign w:val="center"/>
            <w:hideMark/>
          </w:tcPr>
          <w:p w14:paraId="22666F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3.4</w:t>
            </w:r>
          </w:p>
        </w:tc>
        <w:tc>
          <w:tcPr>
            <w:tcW w:w="0" w:type="auto"/>
            <w:vAlign w:val="center"/>
            <w:hideMark/>
          </w:tcPr>
          <w:p w14:paraId="4EC40A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member schedule</w:t>
            </w:r>
          </w:p>
        </w:tc>
        <w:tc>
          <w:tcPr>
            <w:tcW w:w="0" w:type="auto"/>
            <w:vAlign w:val="center"/>
            <w:hideMark/>
          </w:tcPr>
          <w:p w14:paraId="51DC8B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02, A.2</w:t>
            </w:r>
          </w:p>
        </w:tc>
        <w:tc>
          <w:tcPr>
            <w:tcW w:w="0" w:type="auto"/>
            <w:vAlign w:val="center"/>
            <w:hideMark/>
          </w:tcPr>
          <w:p w14:paraId="14E6C9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4CE38E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bids</w:t>
            </w:r>
          </w:p>
        </w:tc>
        <w:tc>
          <w:tcPr>
            <w:tcW w:w="0" w:type="auto"/>
            <w:vAlign w:val="center"/>
            <w:hideMark/>
          </w:tcPr>
          <w:p w14:paraId="2669CF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Identifies the Lead Member, who acts as agent for all instructions and approvals.</w:t>
            </w:r>
          </w:p>
        </w:tc>
      </w:tr>
      <w:tr w:rsidR="009E2C69" w:rsidRPr="009E2C69" w14:paraId="6BC9D4D8" w14:textId="77777777">
        <w:trPr>
          <w:tblCellSpacing w:w="15" w:type="dxa"/>
        </w:trPr>
        <w:tc>
          <w:tcPr>
            <w:tcW w:w="0" w:type="auto"/>
            <w:vAlign w:val="center"/>
            <w:hideMark/>
          </w:tcPr>
          <w:p w14:paraId="651C00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3.5</w:t>
            </w:r>
          </w:p>
        </w:tc>
        <w:tc>
          <w:tcPr>
            <w:tcW w:w="0" w:type="auto"/>
            <w:vAlign w:val="center"/>
            <w:hideMark/>
          </w:tcPr>
          <w:p w14:paraId="7E5DA8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processing particulars (Annex B)</w:t>
            </w:r>
          </w:p>
        </w:tc>
        <w:tc>
          <w:tcPr>
            <w:tcW w:w="0" w:type="auto"/>
            <w:vAlign w:val="center"/>
            <w:hideMark/>
          </w:tcPr>
          <w:p w14:paraId="6A2816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2</w:t>
            </w:r>
          </w:p>
        </w:tc>
        <w:tc>
          <w:tcPr>
            <w:tcW w:w="0" w:type="auto"/>
            <w:vAlign w:val="center"/>
            <w:hideMark/>
          </w:tcPr>
          <w:p w14:paraId="1EF3EF4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0F2EB1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Whenever client personal data is involved</w:t>
            </w:r>
          </w:p>
        </w:tc>
        <w:tc>
          <w:tcPr>
            <w:tcW w:w="0" w:type="auto"/>
            <w:vAlign w:val="center"/>
            <w:hideMark/>
          </w:tcPr>
          <w:p w14:paraId="0D4D5B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28(3) requires these particulars in writing. Without them, processing a CV for a submission is unlawful.</w:t>
            </w:r>
          </w:p>
        </w:tc>
      </w:tr>
      <w:tr w:rsidR="009E2C69" w:rsidRPr="009E2C69" w14:paraId="45C0529E" w14:textId="77777777">
        <w:trPr>
          <w:tblCellSpacing w:w="15" w:type="dxa"/>
        </w:trPr>
        <w:tc>
          <w:tcPr>
            <w:tcW w:w="0" w:type="auto"/>
            <w:vAlign w:val="center"/>
            <w:hideMark/>
          </w:tcPr>
          <w:p w14:paraId="38F75F1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3.6</w:t>
            </w:r>
          </w:p>
        </w:tc>
        <w:tc>
          <w:tcPr>
            <w:tcW w:w="0" w:type="auto"/>
            <w:vAlign w:val="center"/>
            <w:hideMark/>
          </w:tcPr>
          <w:p w14:paraId="050738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(Annex A)</w:t>
            </w:r>
          </w:p>
        </w:tc>
        <w:tc>
          <w:tcPr>
            <w:tcW w:w="0" w:type="auto"/>
            <w:vAlign w:val="center"/>
            <w:hideMark/>
          </w:tcPr>
          <w:p w14:paraId="010D07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1</w:t>
            </w:r>
          </w:p>
        </w:tc>
        <w:tc>
          <w:tcPr>
            <w:tcW w:w="0" w:type="auto"/>
            <w:vAlign w:val="center"/>
            <w:hideMark/>
          </w:tcPr>
          <w:p w14:paraId="6BD3E9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3BA2FF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Populated before issuing the addendum; reviewed every 6 months</w:t>
            </w:r>
          </w:p>
        </w:tc>
        <w:tc>
          <w:tcPr>
            <w:tcW w:w="0" w:type="auto"/>
            <w:vAlign w:val="center"/>
            <w:hideMark/>
          </w:tcPr>
          <w:p w14:paraId="7734F5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Providers change training and retention terms frequently and </w:t>
            </w:r>
            <w:r w:rsidRPr="009E2C69">
              <w:rPr>
                <w:rFonts w:ascii="Times New Roman" w:eastAsia="Times New Roman" w:hAnsi="Times New Roman" w:cs="Times New Roman"/>
                <w:kern w:val="0"/>
                <w:lang w:eastAsia="en-GB"/>
                <w14:ligatures w14:val="none"/>
              </w:rPr>
              <w:lastRenderedPageBreak/>
              <w:t>without prominent notice. A system whose terms change adversely is suspended pending reassessment.</w:t>
            </w:r>
          </w:p>
        </w:tc>
      </w:tr>
      <w:tr w:rsidR="009E2C69" w:rsidRPr="009E2C69" w14:paraId="05978696" w14:textId="77777777">
        <w:trPr>
          <w:tblCellSpacing w:w="15" w:type="dxa"/>
        </w:trPr>
        <w:tc>
          <w:tcPr>
            <w:tcW w:w="0" w:type="auto"/>
            <w:vAlign w:val="center"/>
            <w:hideMark/>
          </w:tcPr>
          <w:p w14:paraId="7E2E60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3.7</w:t>
            </w:r>
          </w:p>
        </w:tc>
        <w:tc>
          <w:tcPr>
            <w:tcW w:w="0" w:type="auto"/>
            <w:vAlign w:val="center"/>
            <w:hideMark/>
          </w:tcPr>
          <w:p w14:paraId="5439C8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AI use record</w:t>
            </w:r>
          </w:p>
        </w:tc>
        <w:tc>
          <w:tcPr>
            <w:tcW w:w="0" w:type="auto"/>
            <w:vAlign w:val="center"/>
            <w:hideMark/>
          </w:tcPr>
          <w:p w14:paraId="47CBC07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A.3</w:t>
            </w:r>
          </w:p>
        </w:tc>
        <w:tc>
          <w:tcPr>
            <w:tcW w:w="0" w:type="auto"/>
            <w:vAlign w:val="center"/>
            <w:hideMark/>
          </w:tcPr>
          <w:p w14:paraId="6EA363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0D1FCBC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Contemporaneously, every engagement</w:t>
            </w:r>
          </w:p>
        </w:tc>
        <w:tc>
          <w:tcPr>
            <w:tcW w:w="0" w:type="auto"/>
            <w:vAlign w:val="center"/>
            <w:hideMark/>
          </w:tcPr>
          <w:p w14:paraId="17D9477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This is what lets the client answer a contracting authority's AI disclosure question truthfully. It is also the first thing an authority or an insurer will ask to see.</w:t>
            </w:r>
          </w:p>
        </w:tc>
      </w:tr>
      <w:tr w:rsidR="009E2C69" w:rsidRPr="009E2C69" w14:paraId="738EDD3E" w14:textId="77777777">
        <w:trPr>
          <w:tblCellSpacing w:w="15" w:type="dxa"/>
        </w:trPr>
        <w:tc>
          <w:tcPr>
            <w:tcW w:w="0" w:type="auto"/>
            <w:vAlign w:val="center"/>
            <w:hideMark/>
          </w:tcPr>
          <w:p w14:paraId="2112E09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3.8</w:t>
            </w:r>
          </w:p>
        </w:tc>
        <w:tc>
          <w:tcPr>
            <w:tcW w:w="0" w:type="auto"/>
            <w:vAlign w:val="center"/>
            <w:hideMark/>
          </w:tcPr>
          <w:p w14:paraId="6C3FC2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IP ownership and licence matrix</w:t>
            </w:r>
          </w:p>
        </w:tc>
        <w:tc>
          <w:tcPr>
            <w:tcW w:w="0" w:type="auto"/>
            <w:vAlign w:val="center"/>
            <w:hideMark/>
          </w:tcPr>
          <w:p w14:paraId="651EFFD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3</w:t>
            </w:r>
          </w:p>
        </w:tc>
        <w:tc>
          <w:tcPr>
            <w:tcW w:w="0" w:type="auto"/>
            <w:vAlign w:val="center"/>
            <w:hideMark/>
          </w:tcPr>
          <w:p w14:paraId="7148B41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Reference document</w:t>
            </w:r>
          </w:p>
        </w:tc>
        <w:tc>
          <w:tcPr>
            <w:tcW w:w="0" w:type="auto"/>
            <w:vAlign w:val="center"/>
            <w:hideMark/>
          </w:tcPr>
          <w:p w14:paraId="0D31B4E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 to a client when the question arises</w:t>
            </w:r>
          </w:p>
        </w:tc>
        <w:tc>
          <w:tcPr>
            <w:tcW w:w="0" w:type="auto"/>
            <w:vAlign w:val="center"/>
            <w:hideMark/>
          </w:tcPr>
          <w:p w14:paraId="46F657B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Shows in one table who owns what and what the client may do with it. Preventing the argument is cheaper than winning it.</w:t>
            </w:r>
          </w:p>
        </w:tc>
      </w:tr>
      <w:tr w:rsidR="009E2C69" w:rsidRPr="009E2C69" w14:paraId="1522A1F3" w14:textId="77777777">
        <w:trPr>
          <w:tblCellSpacing w:w="15" w:type="dxa"/>
        </w:trPr>
        <w:tc>
          <w:tcPr>
            <w:tcW w:w="0" w:type="auto"/>
            <w:vAlign w:val="center"/>
            <w:hideMark/>
          </w:tcPr>
          <w:p w14:paraId="4ACA79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3.9</w:t>
            </w:r>
          </w:p>
        </w:tc>
        <w:tc>
          <w:tcPr>
            <w:tcW w:w="0" w:type="auto"/>
            <w:vAlign w:val="center"/>
            <w:hideMark/>
          </w:tcPr>
          <w:p w14:paraId="549E45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w:t>
            </w:r>
          </w:p>
        </w:tc>
        <w:tc>
          <w:tcPr>
            <w:tcW w:w="0" w:type="auto"/>
            <w:vAlign w:val="center"/>
            <w:hideMark/>
          </w:tcPr>
          <w:p w14:paraId="56EA22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E.1</w:t>
            </w:r>
          </w:p>
        </w:tc>
        <w:tc>
          <w:tcPr>
            <w:tcW w:w="0" w:type="auto"/>
            <w:vAlign w:val="center"/>
            <w:hideMark/>
          </w:tcPr>
          <w:p w14:paraId="6F3190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5B8AED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new engagement</w:t>
            </w:r>
          </w:p>
        </w:tc>
        <w:tc>
          <w:tcPr>
            <w:tcW w:w="0" w:type="auto"/>
            <w:vAlign w:val="center"/>
            <w:hideMark/>
          </w:tcPr>
          <w:p w14:paraId="7BD4288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Fifteen steps. Follow it and most of the rest of the framework operates itself. Note step 15: no work before signed terms and cleared deposit.</w:t>
            </w:r>
          </w:p>
        </w:tc>
      </w:tr>
      <w:tr w:rsidR="009E2C69" w:rsidRPr="009E2C69" w14:paraId="42349A79" w14:textId="77777777">
        <w:trPr>
          <w:tblCellSpacing w:w="15" w:type="dxa"/>
        </w:trPr>
        <w:tc>
          <w:tcPr>
            <w:tcW w:w="0" w:type="auto"/>
            <w:vAlign w:val="center"/>
            <w:hideMark/>
          </w:tcPr>
          <w:p w14:paraId="6CABAC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3.10</w:t>
            </w:r>
          </w:p>
        </w:tc>
        <w:tc>
          <w:tcPr>
            <w:tcW w:w="0" w:type="auto"/>
            <w:vAlign w:val="center"/>
            <w:hideMark/>
          </w:tcPr>
          <w:p w14:paraId="111450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closing checklist</w:t>
            </w:r>
          </w:p>
        </w:tc>
        <w:tc>
          <w:tcPr>
            <w:tcW w:w="0" w:type="auto"/>
            <w:vAlign w:val="center"/>
            <w:hideMark/>
          </w:tcPr>
          <w:p w14:paraId="5360A4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E.2</w:t>
            </w:r>
          </w:p>
        </w:tc>
        <w:tc>
          <w:tcPr>
            <w:tcW w:w="0" w:type="auto"/>
            <w:vAlign w:val="center"/>
            <w:hideMark/>
          </w:tcPr>
          <w:p w14:paraId="3DA4DA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85CE4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completed engagement</w:t>
            </w:r>
          </w:p>
        </w:tc>
        <w:tc>
          <w:tcPr>
            <w:tcW w:w="0" w:type="auto"/>
            <w:vAlign w:val="center"/>
            <w:hideMark/>
          </w:tcPr>
          <w:p w14:paraId="1EB935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Captures the outcome data, revokes associate access, and sets the six-year retention date.</w:t>
            </w:r>
          </w:p>
        </w:tc>
      </w:tr>
      <w:tr w:rsidR="009E2C69" w:rsidRPr="009E2C69" w14:paraId="280D07B4" w14:textId="77777777">
        <w:trPr>
          <w:tblCellSpacing w:w="15" w:type="dxa"/>
        </w:trPr>
        <w:tc>
          <w:tcPr>
            <w:tcW w:w="0" w:type="auto"/>
            <w:vAlign w:val="center"/>
            <w:hideMark/>
          </w:tcPr>
          <w:p w14:paraId="7716E5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3.11</w:t>
            </w:r>
          </w:p>
        </w:tc>
        <w:tc>
          <w:tcPr>
            <w:tcW w:w="0" w:type="auto"/>
            <w:vAlign w:val="center"/>
            <w:hideMark/>
          </w:tcPr>
          <w:p w14:paraId="44742AE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Mutual NDA particulars</w:t>
            </w:r>
          </w:p>
        </w:tc>
        <w:tc>
          <w:tcPr>
            <w:tcW w:w="0" w:type="auto"/>
            <w:vAlign w:val="center"/>
            <w:hideMark/>
          </w:tcPr>
          <w:p w14:paraId="379DC8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01, Particulars</w:t>
            </w:r>
          </w:p>
        </w:tc>
        <w:tc>
          <w:tcPr>
            <w:tcW w:w="0" w:type="auto"/>
            <w:vAlign w:val="center"/>
            <w:hideMark/>
          </w:tcPr>
          <w:p w14:paraId="3B0FFA5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6F043C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 substantive disclosure</w:t>
            </w:r>
          </w:p>
        </w:tc>
        <w:tc>
          <w:tcPr>
            <w:tcW w:w="0" w:type="auto"/>
            <w:vAlign w:val="center"/>
            <w:hideMark/>
          </w:tcPr>
          <w:p w14:paraId="10A1BE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Set the Permitted Purpose precisely. A vague purpose makes the non-circumvention clause hard to enforce.</w:t>
            </w:r>
          </w:p>
        </w:tc>
      </w:tr>
    </w:tbl>
    <w:p w14:paraId="16ED456E"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lastRenderedPageBreak/>
        <w:pict w14:anchorId="22F1B066">
          <v:rect id="_x0000_i1048" style="width:0;height:1.5pt" o:hralign="center" o:hrstd="t" o:hr="t" fillcolor="#a0a0a0" stroked="f"/>
        </w:pict>
      </w:r>
    </w:p>
    <w:p w14:paraId="278D59E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4. ASSOCIATE AND SUPPLIER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70"/>
        <w:gridCol w:w="1323"/>
        <w:gridCol w:w="1610"/>
        <w:gridCol w:w="1547"/>
        <w:gridCol w:w="2421"/>
      </w:tblGrid>
      <w:tr w:rsidR="009E2C69" w:rsidRPr="009E2C69" w14:paraId="0EDB87D2" w14:textId="77777777">
        <w:trPr>
          <w:tblHeader/>
          <w:tblCellSpacing w:w="15" w:type="dxa"/>
        </w:trPr>
        <w:tc>
          <w:tcPr>
            <w:tcW w:w="0" w:type="auto"/>
            <w:vAlign w:val="center"/>
            <w:hideMark/>
          </w:tcPr>
          <w:p w14:paraId="74BF2E6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656377A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33F182C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5333E377"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08AA22C7"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0204D7E8"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7FC0FDB3" w14:textId="77777777">
        <w:trPr>
          <w:tblCellSpacing w:w="15" w:type="dxa"/>
        </w:trPr>
        <w:tc>
          <w:tcPr>
            <w:tcW w:w="0" w:type="auto"/>
            <w:vAlign w:val="center"/>
            <w:hideMark/>
          </w:tcPr>
          <w:p w14:paraId="16F641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4.1</w:t>
            </w:r>
          </w:p>
        </w:tc>
        <w:tc>
          <w:tcPr>
            <w:tcW w:w="0" w:type="auto"/>
            <w:vAlign w:val="center"/>
            <w:hideMark/>
          </w:tcPr>
          <w:p w14:paraId="0029B4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Instruction</w:t>
            </w:r>
          </w:p>
        </w:tc>
        <w:tc>
          <w:tcPr>
            <w:tcW w:w="0" w:type="auto"/>
            <w:vAlign w:val="center"/>
            <w:hideMark/>
          </w:tcPr>
          <w:p w14:paraId="5AF164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Schedule 1</w:t>
            </w:r>
          </w:p>
        </w:tc>
        <w:tc>
          <w:tcPr>
            <w:tcW w:w="0" w:type="auto"/>
            <w:vAlign w:val="center"/>
            <w:hideMark/>
          </w:tcPr>
          <w:p w14:paraId="799955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A775EE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piece of associate work</w:t>
            </w:r>
          </w:p>
        </w:tc>
        <w:tc>
          <w:tcPr>
            <w:tcW w:w="0" w:type="auto"/>
            <w:vAlign w:val="center"/>
            <w:hideMark/>
          </w:tcPr>
          <w:p w14:paraId="208094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separate instruction each time is what keeps the relationship engagement-by-engagement rather than rolling. That matters for employment status as well as for clarity.</w:t>
            </w:r>
          </w:p>
        </w:tc>
      </w:tr>
      <w:tr w:rsidR="009E2C69" w:rsidRPr="009E2C69" w14:paraId="546F0837" w14:textId="77777777">
        <w:trPr>
          <w:tblCellSpacing w:w="15" w:type="dxa"/>
        </w:trPr>
        <w:tc>
          <w:tcPr>
            <w:tcW w:w="0" w:type="auto"/>
            <w:vAlign w:val="center"/>
            <w:hideMark/>
          </w:tcPr>
          <w:p w14:paraId="29D1B23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4.2</w:t>
            </w:r>
          </w:p>
        </w:tc>
        <w:tc>
          <w:tcPr>
            <w:tcW w:w="0" w:type="auto"/>
            <w:vAlign w:val="center"/>
            <w:hideMark/>
          </w:tcPr>
          <w:p w14:paraId="6CADC6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data protection assurance record</w:t>
            </w:r>
          </w:p>
        </w:tc>
        <w:tc>
          <w:tcPr>
            <w:tcW w:w="0" w:type="auto"/>
            <w:vAlign w:val="center"/>
            <w:hideMark/>
          </w:tcPr>
          <w:p w14:paraId="61A558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A</w:t>
            </w:r>
          </w:p>
        </w:tc>
        <w:tc>
          <w:tcPr>
            <w:tcW w:w="0" w:type="auto"/>
            <w:vAlign w:val="center"/>
            <w:hideMark/>
          </w:tcPr>
          <w:p w14:paraId="1F496F7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5F464C9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appointment, then annually</w:t>
            </w:r>
          </w:p>
        </w:tc>
        <w:tc>
          <w:tcPr>
            <w:tcW w:w="0" w:type="auto"/>
            <w:vAlign w:val="center"/>
            <w:hideMark/>
          </w:tcPr>
          <w:p w14:paraId="26F65D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questions forcing the associate to state what devices, accounts and AI tools they use before they touch anything of yours. The single most useful associate form.</w:t>
            </w:r>
          </w:p>
        </w:tc>
      </w:tr>
      <w:tr w:rsidR="009E2C69" w:rsidRPr="009E2C69" w14:paraId="4A19C47F" w14:textId="77777777">
        <w:trPr>
          <w:tblCellSpacing w:w="15" w:type="dxa"/>
        </w:trPr>
        <w:tc>
          <w:tcPr>
            <w:tcW w:w="0" w:type="auto"/>
            <w:vAlign w:val="center"/>
            <w:hideMark/>
          </w:tcPr>
          <w:p w14:paraId="429B0FB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4.3</w:t>
            </w:r>
          </w:p>
        </w:tc>
        <w:tc>
          <w:tcPr>
            <w:tcW w:w="0" w:type="auto"/>
            <w:vAlign w:val="center"/>
            <w:hideMark/>
          </w:tcPr>
          <w:p w14:paraId="51B651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Certificate of deletion</w:t>
            </w:r>
          </w:p>
        </w:tc>
        <w:tc>
          <w:tcPr>
            <w:tcW w:w="0" w:type="auto"/>
            <w:vAlign w:val="center"/>
            <w:hideMark/>
          </w:tcPr>
          <w:p w14:paraId="5A6323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D</w:t>
            </w:r>
          </w:p>
        </w:tc>
        <w:tc>
          <w:tcPr>
            <w:tcW w:w="0" w:type="auto"/>
            <w:vAlign w:val="center"/>
            <w:hideMark/>
          </w:tcPr>
          <w:p w14:paraId="2858B5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6E3F015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5 working days of engagement end</w:t>
            </w:r>
          </w:p>
        </w:tc>
        <w:tc>
          <w:tcPr>
            <w:tcW w:w="0" w:type="auto"/>
            <w:vAlign w:val="center"/>
            <w:hideMark/>
          </w:tcPr>
          <w:p w14:paraId="02246A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Your evidence that client data left their possession. Ask for it every time, not just when you remember.</w:t>
            </w:r>
          </w:p>
        </w:tc>
      </w:tr>
      <w:tr w:rsidR="009E2C69" w:rsidRPr="009E2C69" w14:paraId="38C275F5" w14:textId="77777777">
        <w:trPr>
          <w:tblCellSpacing w:w="15" w:type="dxa"/>
        </w:trPr>
        <w:tc>
          <w:tcPr>
            <w:tcW w:w="0" w:type="auto"/>
            <w:vAlign w:val="center"/>
            <w:hideMark/>
          </w:tcPr>
          <w:p w14:paraId="59942B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4.4</w:t>
            </w:r>
          </w:p>
        </w:tc>
        <w:tc>
          <w:tcPr>
            <w:tcW w:w="0" w:type="auto"/>
            <w:vAlign w:val="center"/>
            <w:hideMark/>
          </w:tcPr>
          <w:p w14:paraId="244F3B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notification content</w:t>
            </w:r>
          </w:p>
        </w:tc>
        <w:tc>
          <w:tcPr>
            <w:tcW w:w="0" w:type="auto"/>
            <w:vAlign w:val="center"/>
            <w:hideMark/>
          </w:tcPr>
          <w:p w14:paraId="0EAFBB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C</w:t>
            </w:r>
          </w:p>
        </w:tc>
        <w:tc>
          <w:tcPr>
            <w:tcW w:w="0" w:type="auto"/>
            <w:vAlign w:val="center"/>
            <w:hideMark/>
          </w:tcPr>
          <w:p w14:paraId="06B13FB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58E5C8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any breach, within 24 hours</w:t>
            </w:r>
          </w:p>
        </w:tc>
        <w:tc>
          <w:tcPr>
            <w:tcW w:w="0" w:type="auto"/>
            <w:vAlign w:val="center"/>
            <w:hideMark/>
          </w:tcPr>
          <w:p w14:paraId="023EA81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Tells them exactly what to send you, so you can meet your own 48-hour deadline to the client.</w:t>
            </w:r>
          </w:p>
        </w:tc>
      </w:tr>
      <w:tr w:rsidR="009E2C69" w:rsidRPr="009E2C69" w14:paraId="0EF645DD" w14:textId="77777777">
        <w:trPr>
          <w:tblCellSpacing w:w="15" w:type="dxa"/>
        </w:trPr>
        <w:tc>
          <w:tcPr>
            <w:tcW w:w="0" w:type="auto"/>
            <w:vAlign w:val="center"/>
            <w:hideMark/>
          </w:tcPr>
          <w:p w14:paraId="173413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4.5</w:t>
            </w:r>
          </w:p>
        </w:tc>
        <w:tc>
          <w:tcPr>
            <w:tcW w:w="0" w:type="auto"/>
            <w:vAlign w:val="center"/>
            <w:hideMark/>
          </w:tcPr>
          <w:p w14:paraId="43D9D16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Substitute undertaking</w:t>
            </w:r>
          </w:p>
        </w:tc>
        <w:tc>
          <w:tcPr>
            <w:tcW w:w="0" w:type="auto"/>
            <w:vAlign w:val="center"/>
            <w:hideMark/>
          </w:tcPr>
          <w:p w14:paraId="16442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2</w:t>
            </w:r>
          </w:p>
        </w:tc>
        <w:tc>
          <w:tcPr>
            <w:tcW w:w="0" w:type="auto"/>
            <w:vAlign w:val="center"/>
            <w:hideMark/>
          </w:tcPr>
          <w:p w14:paraId="50DDE58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substitute</w:t>
            </w:r>
          </w:p>
        </w:tc>
        <w:tc>
          <w:tcPr>
            <w:tcW w:w="0" w:type="auto"/>
            <w:vAlign w:val="center"/>
            <w:hideMark/>
          </w:tcPr>
          <w:p w14:paraId="6BBAA1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 substitute starts any work</w:t>
            </w:r>
          </w:p>
        </w:tc>
        <w:tc>
          <w:tcPr>
            <w:tcW w:w="0" w:type="auto"/>
            <w:vAlign w:val="center"/>
            <w:hideMark/>
          </w:tcPr>
          <w:p w14:paraId="71C0DD4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2.6 permits substitution, which you need. A substitute who signs nothing has your client's data and your methodology with no obligation to you.</w:t>
            </w:r>
          </w:p>
        </w:tc>
      </w:tr>
      <w:tr w:rsidR="009E2C69" w:rsidRPr="009E2C69" w14:paraId="08732E48" w14:textId="77777777">
        <w:trPr>
          <w:tblCellSpacing w:w="15" w:type="dxa"/>
        </w:trPr>
        <w:tc>
          <w:tcPr>
            <w:tcW w:w="0" w:type="auto"/>
            <w:vAlign w:val="center"/>
            <w:hideMark/>
          </w:tcPr>
          <w:p w14:paraId="18E2EB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4.6</w:t>
            </w:r>
          </w:p>
        </w:tc>
        <w:tc>
          <w:tcPr>
            <w:tcW w:w="0" w:type="auto"/>
            <w:vAlign w:val="center"/>
            <w:hideMark/>
          </w:tcPr>
          <w:p w14:paraId="545E56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privacy notice</w:t>
            </w:r>
          </w:p>
        </w:tc>
        <w:tc>
          <w:tcPr>
            <w:tcW w:w="0" w:type="auto"/>
            <w:vAlign w:val="center"/>
            <w:hideMark/>
          </w:tcPr>
          <w:p w14:paraId="42210EF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3</w:t>
            </w:r>
          </w:p>
        </w:tc>
        <w:tc>
          <w:tcPr>
            <w:tcW w:w="0" w:type="auto"/>
            <w:vAlign w:val="center"/>
            <w:hideMark/>
          </w:tcPr>
          <w:p w14:paraId="094777B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Issued by you</w:t>
            </w:r>
          </w:p>
        </w:tc>
        <w:tc>
          <w:tcPr>
            <w:tcW w:w="0" w:type="auto"/>
            <w:vAlign w:val="center"/>
            <w:hideMark/>
          </w:tcPr>
          <w:p w14:paraId="15C86F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At the point you first collect their details</w:t>
            </w:r>
          </w:p>
        </w:tc>
        <w:tc>
          <w:tcPr>
            <w:tcW w:w="0" w:type="auto"/>
            <w:vAlign w:val="center"/>
            <w:hideMark/>
          </w:tcPr>
          <w:p w14:paraId="4569D73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13 requires it at collection, not later. You hold employment status assessments about them, and that has to be disclosed.</w:t>
            </w:r>
          </w:p>
        </w:tc>
      </w:tr>
      <w:tr w:rsidR="009E2C69" w:rsidRPr="009E2C69" w14:paraId="557C1091" w14:textId="77777777">
        <w:trPr>
          <w:tblCellSpacing w:w="15" w:type="dxa"/>
        </w:trPr>
        <w:tc>
          <w:tcPr>
            <w:tcW w:w="0" w:type="auto"/>
            <w:vAlign w:val="center"/>
            <w:hideMark/>
          </w:tcPr>
          <w:p w14:paraId="45C341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4.7</w:t>
            </w:r>
          </w:p>
        </w:tc>
        <w:tc>
          <w:tcPr>
            <w:tcW w:w="0" w:type="auto"/>
            <w:vAlign w:val="center"/>
            <w:hideMark/>
          </w:tcPr>
          <w:p w14:paraId="6EC5A6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Employment status checklist</w:t>
            </w:r>
          </w:p>
        </w:tc>
        <w:tc>
          <w:tcPr>
            <w:tcW w:w="0" w:type="auto"/>
            <w:vAlign w:val="center"/>
            <w:hideMark/>
          </w:tcPr>
          <w:p w14:paraId="2F9DB2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3, 3.3</w:t>
            </w:r>
          </w:p>
        </w:tc>
        <w:tc>
          <w:tcPr>
            <w:tcW w:w="0" w:type="auto"/>
            <w:vAlign w:val="center"/>
            <w:hideMark/>
          </w:tcPr>
          <w:p w14:paraId="4FC9A4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5B853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the first instruction, then annually</w:t>
            </w:r>
          </w:p>
        </w:tc>
        <w:tc>
          <w:tcPr>
            <w:tcW w:w="0" w:type="auto"/>
            <w:vAlign w:val="center"/>
            <w:hideMark/>
          </w:tcPr>
          <w:p w14:paraId="0B65A5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Thirteen indicators. The off-payroll rules probably do not apply </w:t>
            </w:r>
            <w:r w:rsidRPr="009E2C69">
              <w:rPr>
                <w:rFonts w:ascii="Times New Roman" w:eastAsia="Times New Roman" w:hAnsi="Times New Roman" w:cs="Times New Roman"/>
                <w:kern w:val="0"/>
                <w:lang w:eastAsia="en-GB"/>
                <w14:ligatures w14:val="none"/>
              </w:rPr>
              <w:lastRenderedPageBreak/>
              <w:t>to you as a small company, but the common-law employment question does and the exemption does nothing about it.</w:t>
            </w:r>
          </w:p>
        </w:tc>
      </w:tr>
      <w:tr w:rsidR="009E2C69" w:rsidRPr="009E2C69" w14:paraId="23AE0874" w14:textId="77777777">
        <w:trPr>
          <w:tblCellSpacing w:w="15" w:type="dxa"/>
        </w:trPr>
        <w:tc>
          <w:tcPr>
            <w:tcW w:w="0" w:type="auto"/>
            <w:vAlign w:val="center"/>
            <w:hideMark/>
          </w:tcPr>
          <w:p w14:paraId="13946C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4.8</w:t>
            </w:r>
          </w:p>
        </w:tc>
        <w:tc>
          <w:tcPr>
            <w:tcW w:w="0" w:type="auto"/>
            <w:vAlign w:val="center"/>
            <w:hideMark/>
          </w:tcPr>
          <w:p w14:paraId="400060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Status determination record</w:t>
            </w:r>
          </w:p>
        </w:tc>
        <w:tc>
          <w:tcPr>
            <w:tcW w:w="0" w:type="auto"/>
            <w:vAlign w:val="center"/>
            <w:hideMark/>
          </w:tcPr>
          <w:p w14:paraId="698A49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3, Annex G</w:t>
            </w:r>
          </w:p>
        </w:tc>
        <w:tc>
          <w:tcPr>
            <w:tcW w:w="0" w:type="auto"/>
            <w:vAlign w:val="center"/>
            <w:hideMark/>
          </w:tcPr>
          <w:p w14:paraId="7935A67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1A3F9B5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checklist</w:t>
            </w:r>
          </w:p>
        </w:tc>
        <w:tc>
          <w:tcPr>
            <w:tcW w:w="0" w:type="auto"/>
            <w:vAlign w:val="center"/>
            <w:hideMark/>
          </w:tcPr>
          <w:p w14:paraId="153815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CEST reference and the proportion of the associate's income coming from you. An associate who becomes economically dependent on you starts to look like an employee.</w:t>
            </w:r>
          </w:p>
        </w:tc>
      </w:tr>
      <w:tr w:rsidR="009E2C69" w:rsidRPr="009E2C69" w14:paraId="1DA8F054" w14:textId="77777777">
        <w:trPr>
          <w:tblCellSpacing w:w="15" w:type="dxa"/>
        </w:trPr>
        <w:tc>
          <w:tcPr>
            <w:tcW w:w="0" w:type="auto"/>
            <w:vAlign w:val="center"/>
            <w:hideMark/>
          </w:tcPr>
          <w:p w14:paraId="66871E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4.9</w:t>
            </w:r>
          </w:p>
        </w:tc>
        <w:tc>
          <w:tcPr>
            <w:tcW w:w="0" w:type="auto"/>
            <w:vAlign w:val="center"/>
            <w:hideMark/>
          </w:tcPr>
          <w:p w14:paraId="68A76F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checklist</w:t>
            </w:r>
          </w:p>
        </w:tc>
        <w:tc>
          <w:tcPr>
            <w:tcW w:w="0" w:type="auto"/>
            <w:vAlign w:val="center"/>
            <w:hideMark/>
          </w:tcPr>
          <w:p w14:paraId="7A6A80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F</w:t>
            </w:r>
          </w:p>
        </w:tc>
        <w:tc>
          <w:tcPr>
            <w:tcW w:w="0" w:type="auto"/>
            <w:vAlign w:val="center"/>
            <w:hideMark/>
          </w:tcPr>
          <w:p w14:paraId="62BED8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E846A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engaging any supplier touching client data</w:t>
            </w:r>
          </w:p>
        </w:tc>
        <w:tc>
          <w:tcPr>
            <w:tcW w:w="0" w:type="auto"/>
            <w:vAlign w:val="center"/>
            <w:hideMark/>
          </w:tcPr>
          <w:p w14:paraId="48EF41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questions. Any "no" needs remediation, a documented risk acceptance, or rejection of the supplier.</w:t>
            </w:r>
          </w:p>
        </w:tc>
      </w:tr>
      <w:tr w:rsidR="009E2C69" w:rsidRPr="009E2C69" w14:paraId="2D35AAC2" w14:textId="77777777">
        <w:trPr>
          <w:tblCellSpacing w:w="15" w:type="dxa"/>
        </w:trPr>
        <w:tc>
          <w:tcPr>
            <w:tcW w:w="0" w:type="auto"/>
            <w:vAlign w:val="center"/>
            <w:hideMark/>
          </w:tcPr>
          <w:p w14:paraId="751899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4.10</w:t>
            </w:r>
          </w:p>
        </w:tc>
        <w:tc>
          <w:tcPr>
            <w:tcW w:w="0" w:type="auto"/>
            <w:vAlign w:val="center"/>
            <w:hideMark/>
          </w:tcPr>
          <w:p w14:paraId="4BCCC0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register</w:t>
            </w:r>
          </w:p>
        </w:tc>
        <w:tc>
          <w:tcPr>
            <w:tcW w:w="0" w:type="auto"/>
            <w:vAlign w:val="center"/>
            <w:hideMark/>
          </w:tcPr>
          <w:p w14:paraId="08F7D3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E</w:t>
            </w:r>
          </w:p>
        </w:tc>
        <w:tc>
          <w:tcPr>
            <w:tcW w:w="0" w:type="auto"/>
            <w:vAlign w:val="center"/>
            <w:hideMark/>
          </w:tcPr>
          <w:p w14:paraId="266B73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32F60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Maintained continuously</w:t>
            </w:r>
          </w:p>
        </w:tc>
        <w:tc>
          <w:tcPr>
            <w:tcW w:w="0" w:type="auto"/>
            <w:vAlign w:val="center"/>
            <w:hideMark/>
          </w:tcPr>
          <w:p w14:paraId="4B844A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 cannot complete Annex B of the client DPA until you know what each vendor's terms actually say.</w:t>
            </w:r>
          </w:p>
        </w:tc>
      </w:tr>
    </w:tbl>
    <w:p w14:paraId="7EE4A59F"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7342B34E">
          <v:rect id="_x0000_i1047" style="width:0;height:1.5pt" o:hralign="center" o:hrstd="t" o:hr="t" fillcolor="#a0a0a0" stroked="f"/>
        </w:pict>
      </w:r>
    </w:p>
    <w:p w14:paraId="24B2BA1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5. REGISTERS TO MAINTAIN CONTINUOUSLY</w:t>
      </w:r>
    </w:p>
    <w:p w14:paraId="779A3C2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Reviewed at every monthly directors' meeting. A register that is only filled in when something dramatic happens looks identical to one nobody maintains.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603"/>
        <w:gridCol w:w="1195"/>
        <w:gridCol w:w="1354"/>
        <w:gridCol w:w="4318"/>
      </w:tblGrid>
      <w:tr w:rsidR="009E2C69" w:rsidRPr="009E2C69" w14:paraId="114DED06" w14:textId="77777777">
        <w:trPr>
          <w:tblHeader/>
          <w:tblCellSpacing w:w="15" w:type="dxa"/>
        </w:trPr>
        <w:tc>
          <w:tcPr>
            <w:tcW w:w="0" w:type="auto"/>
            <w:vAlign w:val="center"/>
            <w:hideMark/>
          </w:tcPr>
          <w:p w14:paraId="730293A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44E79F0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REGISTER</w:t>
            </w:r>
          </w:p>
        </w:tc>
        <w:tc>
          <w:tcPr>
            <w:tcW w:w="0" w:type="auto"/>
            <w:vAlign w:val="center"/>
            <w:hideMark/>
          </w:tcPr>
          <w:p w14:paraId="04CC80E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347AAC1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OWNER</w:t>
            </w:r>
          </w:p>
        </w:tc>
        <w:tc>
          <w:tcPr>
            <w:tcW w:w="0" w:type="auto"/>
            <w:vAlign w:val="center"/>
            <w:hideMark/>
          </w:tcPr>
          <w:p w14:paraId="612987D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MATTERS</w:t>
            </w:r>
          </w:p>
        </w:tc>
      </w:tr>
      <w:tr w:rsidR="009E2C69" w:rsidRPr="009E2C69" w14:paraId="09B1E8E2" w14:textId="77777777">
        <w:trPr>
          <w:tblCellSpacing w:w="15" w:type="dxa"/>
        </w:trPr>
        <w:tc>
          <w:tcPr>
            <w:tcW w:w="0" w:type="auto"/>
            <w:vAlign w:val="center"/>
            <w:hideMark/>
          </w:tcPr>
          <w:p w14:paraId="758ABA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w:t>
            </w:r>
          </w:p>
        </w:tc>
        <w:tc>
          <w:tcPr>
            <w:tcW w:w="0" w:type="auto"/>
            <w:vAlign w:val="center"/>
            <w:hideMark/>
          </w:tcPr>
          <w:p w14:paraId="661F9B4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Gifts, hospitality and donations</w:t>
            </w:r>
          </w:p>
        </w:tc>
        <w:tc>
          <w:tcPr>
            <w:tcW w:w="0" w:type="auto"/>
            <w:vAlign w:val="center"/>
            <w:hideMark/>
          </w:tcPr>
          <w:p w14:paraId="6593DF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A.1</w:t>
            </w:r>
          </w:p>
        </w:tc>
        <w:tc>
          <w:tcPr>
            <w:tcW w:w="0" w:type="auto"/>
            <w:vAlign w:val="center"/>
            <w:hideMark/>
          </w:tcPr>
          <w:p w14:paraId="74EE8D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EC940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Part of the "adequate procedures" defence under section 7 of the Bribery Act 2010. </w:t>
            </w:r>
            <w:r w:rsidRPr="009E2C69">
              <w:rPr>
                <w:rFonts w:ascii="Times New Roman" w:eastAsia="Times New Roman" w:hAnsi="Times New Roman" w:cs="Times New Roman"/>
                <w:b/>
                <w:bCs/>
                <w:kern w:val="0"/>
                <w:lang w:eastAsia="en-GB"/>
                <w14:ligatures w14:val="none"/>
              </w:rPr>
              <w:t>Make a nil return each month.</w:t>
            </w:r>
            <w:r w:rsidRPr="009E2C69">
              <w:rPr>
                <w:rFonts w:ascii="Times New Roman" w:eastAsia="Times New Roman" w:hAnsi="Times New Roman" w:cs="Times New Roman"/>
                <w:kern w:val="0"/>
                <w:lang w:eastAsia="en-GB"/>
                <w14:ligatures w14:val="none"/>
              </w:rPr>
              <w:t xml:space="preserve"> An empty register with no nil returns is indistinguishable from an abandoned one.</w:t>
            </w:r>
          </w:p>
        </w:tc>
      </w:tr>
      <w:tr w:rsidR="009E2C69" w:rsidRPr="009E2C69" w14:paraId="31331395" w14:textId="77777777">
        <w:trPr>
          <w:tblCellSpacing w:w="15" w:type="dxa"/>
        </w:trPr>
        <w:tc>
          <w:tcPr>
            <w:tcW w:w="0" w:type="auto"/>
            <w:vAlign w:val="center"/>
            <w:hideMark/>
          </w:tcPr>
          <w:p w14:paraId="093FEA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5.2</w:t>
            </w:r>
          </w:p>
        </w:tc>
        <w:tc>
          <w:tcPr>
            <w:tcW w:w="0" w:type="auto"/>
            <w:vAlign w:val="center"/>
            <w:hideMark/>
          </w:tcPr>
          <w:p w14:paraId="741A36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Bribery risk assessment</w:t>
            </w:r>
          </w:p>
        </w:tc>
        <w:tc>
          <w:tcPr>
            <w:tcW w:w="0" w:type="auto"/>
            <w:vAlign w:val="center"/>
            <w:hideMark/>
          </w:tcPr>
          <w:p w14:paraId="2CBAF52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A.2</w:t>
            </w:r>
          </w:p>
        </w:tc>
        <w:tc>
          <w:tcPr>
            <w:tcW w:w="0" w:type="auto"/>
            <w:vAlign w:val="center"/>
            <w:hideMark/>
          </w:tcPr>
          <w:p w14:paraId="1B5B89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21C22C8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annually and on entering any new sector or service line. The defence requires the procedures to be risk-assessed, not just written.</w:t>
            </w:r>
          </w:p>
        </w:tc>
      </w:tr>
      <w:tr w:rsidR="009E2C69" w:rsidRPr="009E2C69" w14:paraId="23DC53E1" w14:textId="77777777">
        <w:trPr>
          <w:tblCellSpacing w:w="15" w:type="dxa"/>
        </w:trPr>
        <w:tc>
          <w:tcPr>
            <w:tcW w:w="0" w:type="auto"/>
            <w:vAlign w:val="center"/>
            <w:hideMark/>
          </w:tcPr>
          <w:p w14:paraId="0F82FB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5.3</w:t>
            </w:r>
          </w:p>
        </w:tc>
        <w:tc>
          <w:tcPr>
            <w:tcW w:w="0" w:type="auto"/>
            <w:vAlign w:val="center"/>
            <w:hideMark/>
          </w:tcPr>
          <w:p w14:paraId="2EE88C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Conflicts register</w:t>
            </w:r>
          </w:p>
        </w:tc>
        <w:tc>
          <w:tcPr>
            <w:tcW w:w="0" w:type="auto"/>
            <w:vAlign w:val="center"/>
            <w:hideMark/>
          </w:tcPr>
          <w:p w14:paraId="2A5E67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B.1</w:t>
            </w:r>
          </w:p>
        </w:tc>
        <w:tc>
          <w:tcPr>
            <w:tcW w:w="0" w:type="auto"/>
            <w:vAlign w:val="center"/>
            <w:hideMark/>
          </w:tcPr>
          <w:p w14:paraId="02AE4E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405F6D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Your core commercial promise is that you will not be on both sides of a competition. This is the evidence you kept it.</w:t>
            </w:r>
          </w:p>
        </w:tc>
      </w:tr>
      <w:tr w:rsidR="009E2C69" w:rsidRPr="009E2C69" w14:paraId="57252903" w14:textId="77777777">
        <w:trPr>
          <w:tblCellSpacing w:w="15" w:type="dxa"/>
        </w:trPr>
        <w:tc>
          <w:tcPr>
            <w:tcW w:w="0" w:type="auto"/>
            <w:vAlign w:val="center"/>
            <w:hideMark/>
          </w:tcPr>
          <w:p w14:paraId="568AB6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5.4</w:t>
            </w:r>
          </w:p>
        </w:tc>
        <w:tc>
          <w:tcPr>
            <w:tcW w:w="0" w:type="auto"/>
            <w:vAlign w:val="center"/>
            <w:hideMark/>
          </w:tcPr>
          <w:p w14:paraId="227BDB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and associates' interests</w:t>
            </w:r>
          </w:p>
        </w:tc>
        <w:tc>
          <w:tcPr>
            <w:tcW w:w="0" w:type="auto"/>
            <w:vAlign w:val="center"/>
            <w:hideMark/>
          </w:tcPr>
          <w:p w14:paraId="04A380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B.2</w:t>
            </w:r>
          </w:p>
        </w:tc>
        <w:tc>
          <w:tcPr>
            <w:tcW w:w="0" w:type="auto"/>
            <w:vAlign w:val="center"/>
            <w:hideMark/>
          </w:tcPr>
          <w:p w14:paraId="0F8870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03D9F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Supports sections 177 and 182 Companies Act 2006 declarations.</w:t>
            </w:r>
          </w:p>
        </w:tc>
      </w:tr>
      <w:tr w:rsidR="009E2C69" w:rsidRPr="009E2C69" w14:paraId="4D88996F" w14:textId="77777777">
        <w:trPr>
          <w:tblCellSpacing w:w="15" w:type="dxa"/>
        </w:trPr>
        <w:tc>
          <w:tcPr>
            <w:tcW w:w="0" w:type="auto"/>
            <w:vAlign w:val="center"/>
            <w:hideMark/>
          </w:tcPr>
          <w:p w14:paraId="47A349C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5.5</w:t>
            </w:r>
          </w:p>
        </w:tc>
        <w:tc>
          <w:tcPr>
            <w:tcW w:w="0" w:type="auto"/>
            <w:vAlign w:val="center"/>
            <w:hideMark/>
          </w:tcPr>
          <w:p w14:paraId="5E516E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Complaints register</w:t>
            </w:r>
          </w:p>
        </w:tc>
        <w:tc>
          <w:tcPr>
            <w:tcW w:w="0" w:type="auto"/>
            <w:vAlign w:val="center"/>
            <w:hideMark/>
          </w:tcPr>
          <w:p w14:paraId="7504E7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C.1</w:t>
            </w:r>
          </w:p>
        </w:tc>
        <w:tc>
          <w:tcPr>
            <w:tcW w:w="0" w:type="auto"/>
            <w:vAlign w:val="center"/>
            <w:hideMark/>
          </w:tcPr>
          <w:p w14:paraId="582430B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F6E82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insurer notification column, which is what stops a complaint aging past a policy deadline.</w:t>
            </w:r>
          </w:p>
        </w:tc>
      </w:tr>
      <w:tr w:rsidR="009E2C69" w:rsidRPr="009E2C69" w14:paraId="10E018E6" w14:textId="77777777">
        <w:trPr>
          <w:tblCellSpacing w:w="15" w:type="dxa"/>
        </w:trPr>
        <w:tc>
          <w:tcPr>
            <w:tcW w:w="0" w:type="auto"/>
            <w:vAlign w:val="center"/>
            <w:hideMark/>
          </w:tcPr>
          <w:p w14:paraId="0C7327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5.6</w:t>
            </w:r>
          </w:p>
        </w:tc>
        <w:tc>
          <w:tcPr>
            <w:tcW w:w="0" w:type="auto"/>
            <w:vAlign w:val="center"/>
            <w:hideMark/>
          </w:tcPr>
          <w:p w14:paraId="38C4A3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 of processing (controller)</w:t>
            </w:r>
          </w:p>
        </w:tc>
        <w:tc>
          <w:tcPr>
            <w:tcW w:w="0" w:type="auto"/>
            <w:vAlign w:val="center"/>
            <w:hideMark/>
          </w:tcPr>
          <w:p w14:paraId="6AB320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D.3 Part 1</w:t>
            </w:r>
          </w:p>
        </w:tc>
        <w:tc>
          <w:tcPr>
            <w:tcW w:w="0" w:type="auto"/>
            <w:vAlign w:val="center"/>
            <w:hideMark/>
          </w:tcPr>
          <w:p w14:paraId="74E15E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4E99A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30. The first thing the ICO asks for.</w:t>
            </w:r>
          </w:p>
        </w:tc>
      </w:tr>
      <w:tr w:rsidR="009E2C69" w:rsidRPr="009E2C69" w14:paraId="387D6042" w14:textId="77777777">
        <w:trPr>
          <w:tblCellSpacing w:w="15" w:type="dxa"/>
        </w:trPr>
        <w:tc>
          <w:tcPr>
            <w:tcW w:w="0" w:type="auto"/>
            <w:vAlign w:val="center"/>
            <w:hideMark/>
          </w:tcPr>
          <w:p w14:paraId="0027E3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5.7</w:t>
            </w:r>
          </w:p>
        </w:tc>
        <w:tc>
          <w:tcPr>
            <w:tcW w:w="0" w:type="auto"/>
            <w:vAlign w:val="center"/>
            <w:hideMark/>
          </w:tcPr>
          <w:p w14:paraId="15519A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 of processing (processor)</w:t>
            </w:r>
          </w:p>
        </w:tc>
        <w:tc>
          <w:tcPr>
            <w:tcW w:w="0" w:type="auto"/>
            <w:vAlign w:val="center"/>
            <w:hideMark/>
          </w:tcPr>
          <w:p w14:paraId="76A79B6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D.3 Part 2</w:t>
            </w:r>
          </w:p>
        </w:tc>
        <w:tc>
          <w:tcPr>
            <w:tcW w:w="0" w:type="auto"/>
            <w:vAlign w:val="center"/>
            <w:hideMark/>
          </w:tcPr>
          <w:p w14:paraId="17012A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22C9F3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30(2). Clients will ask for it during onboarding.</w:t>
            </w:r>
          </w:p>
        </w:tc>
      </w:tr>
      <w:tr w:rsidR="009E2C69" w:rsidRPr="009E2C69" w14:paraId="04DFBFB2" w14:textId="77777777">
        <w:trPr>
          <w:tblCellSpacing w:w="15" w:type="dxa"/>
        </w:trPr>
        <w:tc>
          <w:tcPr>
            <w:tcW w:w="0" w:type="auto"/>
            <w:vAlign w:val="center"/>
            <w:hideMark/>
          </w:tcPr>
          <w:p w14:paraId="3CE2A2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5.8</w:t>
            </w:r>
          </w:p>
        </w:tc>
        <w:tc>
          <w:tcPr>
            <w:tcW w:w="0" w:type="auto"/>
            <w:vAlign w:val="center"/>
            <w:hideMark/>
          </w:tcPr>
          <w:p w14:paraId="5D7F64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Retention schedule</w:t>
            </w:r>
          </w:p>
        </w:tc>
        <w:tc>
          <w:tcPr>
            <w:tcW w:w="0" w:type="auto"/>
            <w:vAlign w:val="center"/>
            <w:hideMark/>
          </w:tcPr>
          <w:p w14:paraId="7B4268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D.4</w:t>
            </w:r>
          </w:p>
        </w:tc>
        <w:tc>
          <w:tcPr>
            <w:tcW w:w="0" w:type="auto"/>
            <w:vAlign w:val="center"/>
            <w:hideMark/>
          </w:tcPr>
          <w:p w14:paraId="3DA405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586A66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Thirteen record types. Note the six-year floor on engagement files — shorter, and you cannot defend a claim brought in year four.</w:t>
            </w:r>
          </w:p>
        </w:tc>
      </w:tr>
      <w:tr w:rsidR="009E2C69" w:rsidRPr="009E2C69" w14:paraId="731052B1" w14:textId="77777777">
        <w:trPr>
          <w:tblCellSpacing w:w="15" w:type="dxa"/>
        </w:trPr>
        <w:tc>
          <w:tcPr>
            <w:tcW w:w="0" w:type="auto"/>
            <w:vAlign w:val="center"/>
            <w:hideMark/>
          </w:tcPr>
          <w:p w14:paraId="16C9CB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5.9</w:t>
            </w:r>
          </w:p>
        </w:tc>
        <w:tc>
          <w:tcPr>
            <w:tcW w:w="0" w:type="auto"/>
            <w:vAlign w:val="center"/>
            <w:hideMark/>
          </w:tcPr>
          <w:p w14:paraId="56867F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w:t>
            </w:r>
          </w:p>
        </w:tc>
        <w:tc>
          <w:tcPr>
            <w:tcW w:w="0" w:type="auto"/>
            <w:vAlign w:val="center"/>
            <w:hideMark/>
          </w:tcPr>
          <w:p w14:paraId="00E1045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1, Annex A</w:t>
            </w:r>
          </w:p>
        </w:tc>
        <w:tc>
          <w:tcPr>
            <w:tcW w:w="0" w:type="auto"/>
            <w:vAlign w:val="center"/>
            <w:hideMark/>
          </w:tcPr>
          <w:p w14:paraId="537001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AEAF6F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3.6 above.</w:t>
            </w:r>
          </w:p>
        </w:tc>
      </w:tr>
      <w:tr w:rsidR="009E2C69" w:rsidRPr="009E2C69" w14:paraId="6BD87965" w14:textId="77777777">
        <w:trPr>
          <w:tblCellSpacing w:w="15" w:type="dxa"/>
        </w:trPr>
        <w:tc>
          <w:tcPr>
            <w:tcW w:w="0" w:type="auto"/>
            <w:vAlign w:val="center"/>
            <w:hideMark/>
          </w:tcPr>
          <w:p w14:paraId="544133A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5.10</w:t>
            </w:r>
          </w:p>
        </w:tc>
        <w:tc>
          <w:tcPr>
            <w:tcW w:w="0" w:type="auto"/>
            <w:vAlign w:val="center"/>
            <w:hideMark/>
          </w:tcPr>
          <w:p w14:paraId="646788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register</w:t>
            </w:r>
          </w:p>
        </w:tc>
        <w:tc>
          <w:tcPr>
            <w:tcW w:w="0" w:type="auto"/>
            <w:vAlign w:val="center"/>
            <w:hideMark/>
          </w:tcPr>
          <w:p w14:paraId="72E5BF4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E</w:t>
            </w:r>
          </w:p>
        </w:tc>
        <w:tc>
          <w:tcPr>
            <w:tcW w:w="0" w:type="auto"/>
            <w:vAlign w:val="center"/>
            <w:hideMark/>
          </w:tcPr>
          <w:p w14:paraId="72E6F80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21C70A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4.10 above.</w:t>
            </w:r>
          </w:p>
        </w:tc>
      </w:tr>
      <w:tr w:rsidR="009E2C69" w:rsidRPr="009E2C69" w14:paraId="6D7BDAEC" w14:textId="77777777">
        <w:trPr>
          <w:tblCellSpacing w:w="15" w:type="dxa"/>
        </w:trPr>
        <w:tc>
          <w:tcPr>
            <w:tcW w:w="0" w:type="auto"/>
            <w:vAlign w:val="center"/>
            <w:hideMark/>
          </w:tcPr>
          <w:p w14:paraId="6AB603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5.11</w:t>
            </w:r>
          </w:p>
        </w:tc>
        <w:tc>
          <w:tcPr>
            <w:tcW w:w="0" w:type="auto"/>
            <w:vAlign w:val="center"/>
            <w:hideMark/>
          </w:tcPr>
          <w:p w14:paraId="63A341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Critical suppliers and alternatives</w:t>
            </w:r>
          </w:p>
        </w:tc>
        <w:tc>
          <w:tcPr>
            <w:tcW w:w="0" w:type="auto"/>
            <w:vAlign w:val="center"/>
            <w:hideMark/>
          </w:tcPr>
          <w:p w14:paraId="091BCC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C.2</w:t>
            </w:r>
          </w:p>
        </w:tc>
        <w:tc>
          <w:tcPr>
            <w:tcW w:w="0" w:type="auto"/>
            <w:vAlign w:val="center"/>
            <w:hideMark/>
          </w:tcPr>
          <w:p w14:paraId="0A92D2E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3DB1EA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Identifies a fallback for each critical service before you need one.</w:t>
            </w:r>
          </w:p>
        </w:tc>
      </w:tr>
      <w:tr w:rsidR="009E2C69" w:rsidRPr="009E2C69" w14:paraId="6D8FB990" w14:textId="77777777">
        <w:trPr>
          <w:tblCellSpacing w:w="15" w:type="dxa"/>
        </w:trPr>
        <w:tc>
          <w:tcPr>
            <w:tcW w:w="0" w:type="auto"/>
            <w:vAlign w:val="center"/>
            <w:hideMark/>
          </w:tcPr>
          <w:p w14:paraId="438A82D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5.12</w:t>
            </w:r>
          </w:p>
        </w:tc>
        <w:tc>
          <w:tcPr>
            <w:tcW w:w="0" w:type="auto"/>
            <w:vAlign w:val="center"/>
            <w:hideMark/>
          </w:tcPr>
          <w:p w14:paraId="33C9B2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registers</w:t>
            </w:r>
          </w:p>
        </w:tc>
        <w:tc>
          <w:tcPr>
            <w:tcW w:w="0" w:type="auto"/>
            <w:vAlign w:val="center"/>
            <w:hideMark/>
          </w:tcPr>
          <w:p w14:paraId="5BD15D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4.1</w:t>
            </w:r>
          </w:p>
        </w:tc>
        <w:tc>
          <w:tcPr>
            <w:tcW w:w="0" w:type="auto"/>
            <w:vAlign w:val="center"/>
            <w:hideMark/>
          </w:tcPr>
          <w:p w14:paraId="09FAB7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726A280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2.10 above.</w:t>
            </w:r>
          </w:p>
        </w:tc>
      </w:tr>
    </w:tbl>
    <w:p w14:paraId="3DCEBBBA"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22FCD5FE">
          <v:rect id="_x0000_i1046" style="width:0;height:1.5pt" o:hralign="center" o:hrstd="t" o:hr="t" fillcolor="#a0a0a0" stroked="f"/>
        </w:pict>
      </w:r>
    </w:p>
    <w:p w14:paraId="3F04B67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6. LOGS — FILLED IN WHEN SOMETHING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44"/>
        <w:gridCol w:w="1143"/>
        <w:gridCol w:w="1717"/>
        <w:gridCol w:w="4067"/>
      </w:tblGrid>
      <w:tr w:rsidR="009E2C69" w:rsidRPr="009E2C69" w14:paraId="29E6E78A" w14:textId="77777777">
        <w:trPr>
          <w:tblHeader/>
          <w:tblCellSpacing w:w="15" w:type="dxa"/>
        </w:trPr>
        <w:tc>
          <w:tcPr>
            <w:tcW w:w="0" w:type="auto"/>
            <w:vAlign w:val="center"/>
            <w:hideMark/>
          </w:tcPr>
          <w:p w14:paraId="32D9FD8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6FDF0FC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LOG</w:t>
            </w:r>
          </w:p>
        </w:tc>
        <w:tc>
          <w:tcPr>
            <w:tcW w:w="0" w:type="auto"/>
            <w:vAlign w:val="center"/>
            <w:hideMark/>
          </w:tcPr>
          <w:p w14:paraId="5B6C73C5"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6AA234C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BD01C9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w:t>
            </w:r>
          </w:p>
        </w:tc>
      </w:tr>
      <w:tr w:rsidR="009E2C69" w:rsidRPr="009E2C69" w14:paraId="4EA747FF" w14:textId="77777777">
        <w:trPr>
          <w:tblCellSpacing w:w="15" w:type="dxa"/>
        </w:trPr>
        <w:tc>
          <w:tcPr>
            <w:tcW w:w="0" w:type="auto"/>
            <w:vAlign w:val="center"/>
            <w:hideMark/>
          </w:tcPr>
          <w:p w14:paraId="1A4D62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6.1</w:t>
            </w:r>
          </w:p>
        </w:tc>
        <w:tc>
          <w:tcPr>
            <w:tcW w:w="0" w:type="auto"/>
            <w:vAlign w:val="center"/>
            <w:hideMark/>
          </w:tcPr>
          <w:p w14:paraId="25CDE8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and incident log</w:t>
            </w:r>
          </w:p>
        </w:tc>
        <w:tc>
          <w:tcPr>
            <w:tcW w:w="0" w:type="auto"/>
            <w:vAlign w:val="center"/>
            <w:hideMark/>
          </w:tcPr>
          <w:p w14:paraId="67567B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D.1</w:t>
            </w:r>
          </w:p>
        </w:tc>
        <w:tc>
          <w:tcPr>
            <w:tcW w:w="0" w:type="auto"/>
            <w:vAlign w:val="center"/>
            <w:hideMark/>
          </w:tcPr>
          <w:p w14:paraId="7BC1B6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Every incident, </w:t>
            </w:r>
            <w:r w:rsidRPr="009E2C69">
              <w:rPr>
                <w:rFonts w:ascii="Times New Roman" w:eastAsia="Times New Roman" w:hAnsi="Times New Roman" w:cs="Times New Roman"/>
                <w:b/>
                <w:bCs/>
                <w:kern w:val="0"/>
                <w:lang w:eastAsia="en-GB"/>
                <w14:ligatures w14:val="none"/>
              </w:rPr>
              <w:t>whether or not notifiable</w:t>
            </w:r>
          </w:p>
        </w:tc>
        <w:tc>
          <w:tcPr>
            <w:tcW w:w="0" w:type="auto"/>
            <w:vAlign w:val="center"/>
            <w:hideMark/>
          </w:tcPr>
          <w:p w14:paraId="5179F4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33(5) requires the record irrespective of notifiability. Recording an incident you decided not to report is what demonstrates you made a decision rather than missed one.</w:t>
            </w:r>
          </w:p>
        </w:tc>
      </w:tr>
      <w:tr w:rsidR="009E2C69" w:rsidRPr="009E2C69" w14:paraId="00FF59C4" w14:textId="77777777">
        <w:trPr>
          <w:tblCellSpacing w:w="15" w:type="dxa"/>
        </w:trPr>
        <w:tc>
          <w:tcPr>
            <w:tcW w:w="0" w:type="auto"/>
            <w:vAlign w:val="center"/>
            <w:hideMark/>
          </w:tcPr>
          <w:p w14:paraId="0281D0C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6.2</w:t>
            </w:r>
          </w:p>
        </w:tc>
        <w:tc>
          <w:tcPr>
            <w:tcW w:w="0" w:type="auto"/>
            <w:vAlign w:val="center"/>
            <w:hideMark/>
          </w:tcPr>
          <w:p w14:paraId="49329B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subject request log</w:t>
            </w:r>
          </w:p>
        </w:tc>
        <w:tc>
          <w:tcPr>
            <w:tcW w:w="0" w:type="auto"/>
            <w:vAlign w:val="center"/>
            <w:hideMark/>
          </w:tcPr>
          <w:p w14:paraId="3583CB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D.2</w:t>
            </w:r>
          </w:p>
        </w:tc>
        <w:tc>
          <w:tcPr>
            <w:tcW w:w="0" w:type="auto"/>
            <w:vAlign w:val="center"/>
            <w:hideMark/>
          </w:tcPr>
          <w:p w14:paraId="1C1B1E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request</w:t>
            </w:r>
          </w:p>
        </w:tc>
        <w:tc>
          <w:tcPr>
            <w:tcW w:w="0" w:type="auto"/>
            <w:vAlign w:val="center"/>
            <w:hideMark/>
          </w:tcPr>
          <w:p w14:paraId="5780BD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A request need not mention the legislation, need not be in writing, and can be made to anyone. Whoever </w:t>
            </w:r>
            <w:r w:rsidRPr="009E2C69">
              <w:rPr>
                <w:rFonts w:ascii="Times New Roman" w:eastAsia="Times New Roman" w:hAnsi="Times New Roman" w:cs="Times New Roman"/>
                <w:kern w:val="0"/>
                <w:lang w:eastAsia="en-GB"/>
                <w14:ligatures w14:val="none"/>
              </w:rPr>
              <w:lastRenderedPageBreak/>
              <w:t>receives one passes it to the Founder the same day.</w:t>
            </w:r>
          </w:p>
        </w:tc>
      </w:tr>
      <w:tr w:rsidR="009E2C69" w:rsidRPr="009E2C69" w14:paraId="68E55092" w14:textId="77777777">
        <w:trPr>
          <w:tblCellSpacing w:w="15" w:type="dxa"/>
        </w:trPr>
        <w:tc>
          <w:tcPr>
            <w:tcW w:w="0" w:type="auto"/>
            <w:vAlign w:val="center"/>
            <w:hideMark/>
          </w:tcPr>
          <w:p w14:paraId="5F236F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6.3</w:t>
            </w:r>
          </w:p>
        </w:tc>
        <w:tc>
          <w:tcPr>
            <w:tcW w:w="0" w:type="auto"/>
            <w:vAlign w:val="center"/>
            <w:hideMark/>
          </w:tcPr>
          <w:p w14:paraId="6D7282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Business continuity test and incident log</w:t>
            </w:r>
          </w:p>
        </w:tc>
        <w:tc>
          <w:tcPr>
            <w:tcW w:w="0" w:type="auto"/>
            <w:vAlign w:val="center"/>
            <w:hideMark/>
          </w:tcPr>
          <w:p w14:paraId="5D0CA6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C.1</w:t>
            </w:r>
          </w:p>
        </w:tc>
        <w:tc>
          <w:tcPr>
            <w:tcW w:w="0" w:type="auto"/>
            <w:vAlign w:val="center"/>
            <w:hideMark/>
          </w:tcPr>
          <w:p w14:paraId="4967F2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Each quarterly restoration test and each incident</w:t>
            </w:r>
          </w:p>
        </w:tc>
        <w:tc>
          <w:tcPr>
            <w:tcW w:w="0" w:type="auto"/>
            <w:vAlign w:val="center"/>
            <w:hideMark/>
          </w:tcPr>
          <w:p w14:paraId="33DE0E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 untested backup is not a backup.</w:t>
            </w:r>
          </w:p>
        </w:tc>
      </w:tr>
      <w:tr w:rsidR="009E2C69" w:rsidRPr="009E2C69" w14:paraId="0370F49A" w14:textId="77777777">
        <w:trPr>
          <w:tblCellSpacing w:w="15" w:type="dxa"/>
        </w:trPr>
        <w:tc>
          <w:tcPr>
            <w:tcW w:w="0" w:type="auto"/>
            <w:vAlign w:val="center"/>
            <w:hideMark/>
          </w:tcPr>
          <w:p w14:paraId="4050CF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6.4</w:t>
            </w:r>
          </w:p>
        </w:tc>
        <w:tc>
          <w:tcPr>
            <w:tcW w:w="0" w:type="auto"/>
            <w:vAlign w:val="center"/>
            <w:hideMark/>
          </w:tcPr>
          <w:p w14:paraId="773343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Accident and incident log</w:t>
            </w:r>
          </w:p>
        </w:tc>
        <w:tc>
          <w:tcPr>
            <w:tcW w:w="0" w:type="auto"/>
            <w:vAlign w:val="center"/>
            <w:hideMark/>
          </w:tcPr>
          <w:p w14:paraId="04B22F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D.2</w:t>
            </w:r>
          </w:p>
        </w:tc>
        <w:tc>
          <w:tcPr>
            <w:tcW w:w="0" w:type="auto"/>
            <w:vAlign w:val="center"/>
            <w:hideMark/>
          </w:tcPr>
          <w:p w14:paraId="42E3165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accident, injury or near miss</w:t>
            </w:r>
          </w:p>
        </w:tc>
        <w:tc>
          <w:tcPr>
            <w:tcW w:w="0" w:type="auto"/>
            <w:vAlign w:val="center"/>
            <w:hideMark/>
          </w:tcPr>
          <w:p w14:paraId="1CDDC8E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RIDDOR reportability question. Client sites in construction and trades carry real risk.</w:t>
            </w:r>
          </w:p>
        </w:tc>
      </w:tr>
    </w:tbl>
    <w:p w14:paraId="1F6471A4"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59D71EE">
          <v:rect id="_x0000_i1045" style="width:0;height:1.5pt" o:hralign="center" o:hrstd="t" o:hr="t" fillcolor="#a0a0a0" stroked="f"/>
        </w:pict>
      </w:r>
    </w:p>
    <w:p w14:paraId="6B68752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7. CHECKLISTS AND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25"/>
        <w:gridCol w:w="1164"/>
        <w:gridCol w:w="2129"/>
        <w:gridCol w:w="3453"/>
      </w:tblGrid>
      <w:tr w:rsidR="009E2C69" w:rsidRPr="009E2C69" w14:paraId="426861E2" w14:textId="77777777">
        <w:trPr>
          <w:tblHeader/>
          <w:tblCellSpacing w:w="15" w:type="dxa"/>
        </w:trPr>
        <w:tc>
          <w:tcPr>
            <w:tcW w:w="0" w:type="auto"/>
            <w:vAlign w:val="center"/>
            <w:hideMark/>
          </w:tcPr>
          <w:p w14:paraId="2163F59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12D1B58B"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122E498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14C6693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1ABF929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w:t>
            </w:r>
          </w:p>
        </w:tc>
      </w:tr>
      <w:tr w:rsidR="009E2C69" w:rsidRPr="009E2C69" w14:paraId="53816596" w14:textId="77777777">
        <w:trPr>
          <w:tblCellSpacing w:w="15" w:type="dxa"/>
        </w:trPr>
        <w:tc>
          <w:tcPr>
            <w:tcW w:w="0" w:type="auto"/>
            <w:vAlign w:val="center"/>
            <w:hideMark/>
          </w:tcPr>
          <w:p w14:paraId="397FF49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w:t>
            </w:r>
          </w:p>
        </w:tc>
        <w:tc>
          <w:tcPr>
            <w:tcW w:w="0" w:type="auto"/>
            <w:vAlign w:val="center"/>
            <w:hideMark/>
          </w:tcPr>
          <w:p w14:paraId="7CD633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Access revocation checklist</w:t>
            </w:r>
          </w:p>
        </w:tc>
        <w:tc>
          <w:tcPr>
            <w:tcW w:w="0" w:type="auto"/>
            <w:vAlign w:val="center"/>
            <w:hideMark/>
          </w:tcPr>
          <w:p w14:paraId="4090B9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B.1</w:t>
            </w:r>
          </w:p>
        </w:tc>
        <w:tc>
          <w:tcPr>
            <w:tcW w:w="0" w:type="auto"/>
            <w:vAlign w:val="center"/>
            <w:hideMark/>
          </w:tcPr>
          <w:p w14:paraId="0B2EBB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Same day anyone departs</w:t>
            </w:r>
          </w:p>
        </w:tc>
        <w:tc>
          <w:tcPr>
            <w:tcW w:w="0" w:type="auto"/>
            <w:vAlign w:val="center"/>
            <w:hideMark/>
          </w:tcPr>
          <w:p w14:paraId="1AD409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Twelve steps. Access left live after departure is the most common and most avoidable data breach in a small business.</w:t>
            </w:r>
          </w:p>
        </w:tc>
      </w:tr>
      <w:tr w:rsidR="009E2C69" w:rsidRPr="009E2C69" w14:paraId="5419168B" w14:textId="77777777">
        <w:trPr>
          <w:tblCellSpacing w:w="15" w:type="dxa"/>
        </w:trPr>
        <w:tc>
          <w:tcPr>
            <w:tcW w:w="0" w:type="auto"/>
            <w:vAlign w:val="center"/>
            <w:hideMark/>
          </w:tcPr>
          <w:p w14:paraId="262303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7.2</w:t>
            </w:r>
          </w:p>
        </w:tc>
        <w:tc>
          <w:tcPr>
            <w:tcW w:w="0" w:type="auto"/>
            <w:vAlign w:val="center"/>
            <w:hideMark/>
          </w:tcPr>
          <w:p w14:paraId="2837439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Insurance cover features checklist</w:t>
            </w:r>
          </w:p>
        </w:tc>
        <w:tc>
          <w:tcPr>
            <w:tcW w:w="0" w:type="auto"/>
            <w:vAlign w:val="center"/>
            <w:hideMark/>
          </w:tcPr>
          <w:p w14:paraId="6B27AB0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1.3</w:t>
            </w:r>
          </w:p>
        </w:tc>
        <w:tc>
          <w:tcPr>
            <w:tcW w:w="0" w:type="auto"/>
            <w:vAlign w:val="center"/>
            <w:hideMark/>
          </w:tcPr>
          <w:p w14:paraId="6BD807F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broker, before placing cover</w:t>
            </w:r>
          </w:p>
        </w:tc>
        <w:tc>
          <w:tcPr>
            <w:tcW w:w="0" w:type="auto"/>
            <w:vAlign w:val="center"/>
            <w:hideMark/>
          </w:tcPr>
          <w:p w14:paraId="59B6C7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Seventeen features to confirm </w:t>
            </w:r>
            <w:r w:rsidRPr="009E2C69">
              <w:rPr>
                <w:rFonts w:ascii="Times New Roman" w:eastAsia="Times New Roman" w:hAnsi="Times New Roman" w:cs="Times New Roman"/>
                <w:b/>
                <w:bCs/>
                <w:kern w:val="0"/>
                <w:lang w:eastAsia="en-GB"/>
                <w14:ligatures w14:val="none"/>
              </w:rPr>
              <w:t>in writing</w:t>
            </w:r>
            <w:r w:rsidRPr="009E2C69">
              <w:rPr>
                <w:rFonts w:ascii="Times New Roman" w:eastAsia="Times New Roman" w:hAnsi="Times New Roman" w:cs="Times New Roman"/>
                <w:kern w:val="0"/>
                <w:lang w:eastAsia="en-GB"/>
                <w14:ligatures w14:val="none"/>
              </w:rPr>
              <w:t>. Several are commonly excluded and would matter: sub-contracted associate work, work involving AI, breach of confidentiality.</w:t>
            </w:r>
          </w:p>
        </w:tc>
      </w:tr>
      <w:tr w:rsidR="009E2C69" w:rsidRPr="009E2C69" w14:paraId="06046BE2" w14:textId="77777777">
        <w:trPr>
          <w:tblCellSpacing w:w="15" w:type="dxa"/>
        </w:trPr>
        <w:tc>
          <w:tcPr>
            <w:tcW w:w="0" w:type="auto"/>
            <w:vAlign w:val="center"/>
            <w:hideMark/>
          </w:tcPr>
          <w:p w14:paraId="6182A2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7.3</w:t>
            </w:r>
          </w:p>
        </w:tc>
        <w:tc>
          <w:tcPr>
            <w:tcW w:w="0" w:type="auto"/>
            <w:vAlign w:val="center"/>
            <w:hideMark/>
          </w:tcPr>
          <w:p w14:paraId="6BA1A1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Insurance current position record</w:t>
            </w:r>
          </w:p>
        </w:tc>
        <w:tc>
          <w:tcPr>
            <w:tcW w:w="0" w:type="auto"/>
            <w:vAlign w:val="center"/>
            <w:hideMark/>
          </w:tcPr>
          <w:p w14:paraId="32CB2A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1.6</w:t>
            </w:r>
          </w:p>
        </w:tc>
        <w:tc>
          <w:tcPr>
            <w:tcW w:w="0" w:type="auto"/>
            <w:vAlign w:val="center"/>
            <w:hideMark/>
          </w:tcPr>
          <w:p w14:paraId="3732BE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Updated at each renewal</w:t>
            </w:r>
          </w:p>
        </w:tc>
        <w:tc>
          <w:tcPr>
            <w:tcW w:w="0" w:type="auto"/>
            <w:vAlign w:val="center"/>
            <w:hideMark/>
          </w:tcPr>
          <w:p w14:paraId="30CB659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F.6 states your cover to clients. It must be accurate on the day every engagement is issued.</w:t>
            </w:r>
          </w:p>
        </w:tc>
      </w:tr>
      <w:tr w:rsidR="009E2C69" w:rsidRPr="009E2C69" w14:paraId="3519B16C" w14:textId="77777777">
        <w:trPr>
          <w:tblCellSpacing w:w="15" w:type="dxa"/>
        </w:trPr>
        <w:tc>
          <w:tcPr>
            <w:tcW w:w="0" w:type="auto"/>
            <w:vAlign w:val="center"/>
            <w:hideMark/>
          </w:tcPr>
          <w:p w14:paraId="72AB68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7.4</w:t>
            </w:r>
          </w:p>
        </w:tc>
        <w:tc>
          <w:tcPr>
            <w:tcW w:w="0" w:type="auto"/>
            <w:vAlign w:val="center"/>
            <w:hideMark/>
          </w:tcPr>
          <w:p w14:paraId="34D15D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Broker instruction letter</w:t>
            </w:r>
          </w:p>
        </w:tc>
        <w:tc>
          <w:tcPr>
            <w:tcW w:w="0" w:type="auto"/>
            <w:vAlign w:val="center"/>
            <w:hideMark/>
          </w:tcPr>
          <w:p w14:paraId="5EFE1F1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Part 2</w:t>
            </w:r>
          </w:p>
        </w:tc>
        <w:tc>
          <w:tcPr>
            <w:tcW w:w="0" w:type="auto"/>
            <w:vAlign w:val="center"/>
            <w:hideMark/>
          </w:tcPr>
          <w:p w14:paraId="55FAC8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Once, and at any material change</w:t>
            </w:r>
          </w:p>
        </w:tc>
        <w:tc>
          <w:tcPr>
            <w:tcW w:w="0" w:type="auto"/>
            <w:vAlign w:val="center"/>
            <w:hideMark/>
          </w:tcPr>
          <w:p w14:paraId="10E17A3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Sendable as it stands.</w:t>
            </w:r>
          </w:p>
        </w:tc>
      </w:tr>
      <w:tr w:rsidR="009E2C69" w:rsidRPr="009E2C69" w14:paraId="5B472B86" w14:textId="77777777">
        <w:trPr>
          <w:tblCellSpacing w:w="15" w:type="dxa"/>
        </w:trPr>
        <w:tc>
          <w:tcPr>
            <w:tcW w:w="0" w:type="auto"/>
            <w:vAlign w:val="center"/>
            <w:hideMark/>
          </w:tcPr>
          <w:p w14:paraId="35B84D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7.5</w:t>
            </w:r>
          </w:p>
        </w:tc>
        <w:tc>
          <w:tcPr>
            <w:tcW w:w="0" w:type="auto"/>
            <w:vAlign w:val="center"/>
            <w:hideMark/>
          </w:tcPr>
          <w:p w14:paraId="7A77B7D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Technical and organisational measures</w:t>
            </w:r>
          </w:p>
        </w:tc>
        <w:tc>
          <w:tcPr>
            <w:tcW w:w="0" w:type="auto"/>
            <w:vAlign w:val="center"/>
            <w:hideMark/>
          </w:tcPr>
          <w:p w14:paraId="5DD459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Annex C</w:t>
            </w:r>
          </w:p>
        </w:tc>
        <w:tc>
          <w:tcPr>
            <w:tcW w:w="0" w:type="auto"/>
            <w:vAlign w:val="center"/>
            <w:hideMark/>
          </w:tcPr>
          <w:p w14:paraId="3681CA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annually</w:t>
            </w:r>
          </w:p>
        </w:tc>
        <w:tc>
          <w:tcPr>
            <w:tcW w:w="0" w:type="auto"/>
            <w:vAlign w:val="center"/>
            <w:hideMark/>
          </w:tcPr>
          <w:p w14:paraId="2C33D38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What you tell clients you actually do. Do not state a control you have not implemented.</w:t>
            </w:r>
          </w:p>
        </w:tc>
      </w:tr>
      <w:tr w:rsidR="009E2C69" w:rsidRPr="009E2C69" w14:paraId="21936776" w14:textId="77777777">
        <w:trPr>
          <w:tblCellSpacing w:w="15" w:type="dxa"/>
        </w:trPr>
        <w:tc>
          <w:tcPr>
            <w:tcW w:w="0" w:type="auto"/>
            <w:vAlign w:val="center"/>
            <w:hideMark/>
          </w:tcPr>
          <w:p w14:paraId="545D9E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7.6</w:t>
            </w:r>
          </w:p>
        </w:tc>
        <w:tc>
          <w:tcPr>
            <w:tcW w:w="0" w:type="auto"/>
            <w:vAlign w:val="center"/>
            <w:hideMark/>
          </w:tcPr>
          <w:p w14:paraId="26863C6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Minimum measures for associates</w:t>
            </w:r>
          </w:p>
        </w:tc>
        <w:tc>
          <w:tcPr>
            <w:tcW w:w="0" w:type="auto"/>
            <w:vAlign w:val="center"/>
            <w:hideMark/>
          </w:tcPr>
          <w:p w14:paraId="06C8452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B</w:t>
            </w:r>
          </w:p>
        </w:tc>
        <w:tc>
          <w:tcPr>
            <w:tcW w:w="0" w:type="auto"/>
            <w:vAlign w:val="center"/>
            <w:hideMark/>
          </w:tcPr>
          <w:p w14:paraId="4C11240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Given to every associate</w:t>
            </w:r>
          </w:p>
        </w:tc>
        <w:tc>
          <w:tcPr>
            <w:tcW w:w="0" w:type="auto"/>
            <w:vAlign w:val="center"/>
            <w:hideMark/>
          </w:tcPr>
          <w:p w14:paraId="489F47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Twelve controls, non-negotiable.</w:t>
            </w:r>
          </w:p>
        </w:tc>
      </w:tr>
      <w:tr w:rsidR="009E2C69" w:rsidRPr="009E2C69" w14:paraId="5B9130DC" w14:textId="77777777">
        <w:trPr>
          <w:tblCellSpacing w:w="15" w:type="dxa"/>
        </w:trPr>
        <w:tc>
          <w:tcPr>
            <w:tcW w:w="0" w:type="auto"/>
            <w:vAlign w:val="center"/>
            <w:hideMark/>
          </w:tcPr>
          <w:p w14:paraId="2EF4CC5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7.7</w:t>
            </w:r>
          </w:p>
        </w:tc>
        <w:tc>
          <w:tcPr>
            <w:tcW w:w="0" w:type="auto"/>
            <w:vAlign w:val="center"/>
            <w:hideMark/>
          </w:tcPr>
          <w:p w14:paraId="00511C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protection impact assessment</w:t>
            </w:r>
          </w:p>
        </w:tc>
        <w:tc>
          <w:tcPr>
            <w:tcW w:w="0" w:type="auto"/>
            <w:vAlign w:val="center"/>
            <w:hideMark/>
          </w:tcPr>
          <w:p w14:paraId="42B85E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4</w:t>
            </w:r>
          </w:p>
        </w:tc>
        <w:tc>
          <w:tcPr>
            <w:tcW w:w="0" w:type="auto"/>
            <w:vAlign w:val="center"/>
            <w:hideMark/>
          </w:tcPr>
          <w:p w14:paraId="3609EB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adopting any new system handling personal data</w:t>
            </w:r>
          </w:p>
        </w:tc>
        <w:tc>
          <w:tcPr>
            <w:tcW w:w="0" w:type="auto"/>
            <w:vAlign w:val="center"/>
            <w:hideMark/>
          </w:tcPr>
          <w:p w14:paraId="35A37A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Section 1 alone takes five minutes. Recording that a full assessment was </w:t>
            </w:r>
            <w:r w:rsidRPr="009E2C69">
              <w:rPr>
                <w:rFonts w:ascii="Times New Roman" w:eastAsia="Times New Roman" w:hAnsi="Times New Roman" w:cs="Times New Roman"/>
                <w:b/>
                <w:bCs/>
                <w:kern w:val="0"/>
                <w:lang w:eastAsia="en-GB"/>
                <w14:ligatures w14:val="none"/>
              </w:rPr>
              <w:t>not</w:t>
            </w:r>
            <w:r w:rsidRPr="009E2C69">
              <w:rPr>
                <w:rFonts w:ascii="Times New Roman" w:eastAsia="Times New Roman" w:hAnsi="Times New Roman" w:cs="Times New Roman"/>
                <w:kern w:val="0"/>
                <w:lang w:eastAsia="en-GB"/>
                <w14:ligatures w14:val="none"/>
              </w:rPr>
              <w:t xml:space="preserve"> needed is itself part of the accountability record.</w:t>
            </w:r>
          </w:p>
        </w:tc>
      </w:tr>
      <w:tr w:rsidR="009E2C69" w:rsidRPr="009E2C69" w14:paraId="16422963" w14:textId="77777777">
        <w:trPr>
          <w:tblCellSpacing w:w="15" w:type="dxa"/>
        </w:trPr>
        <w:tc>
          <w:tcPr>
            <w:tcW w:w="0" w:type="auto"/>
            <w:vAlign w:val="center"/>
            <w:hideMark/>
          </w:tcPr>
          <w:p w14:paraId="6C0C3E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7.8</w:t>
            </w:r>
          </w:p>
        </w:tc>
        <w:tc>
          <w:tcPr>
            <w:tcW w:w="0" w:type="auto"/>
            <w:vAlign w:val="center"/>
            <w:hideMark/>
          </w:tcPr>
          <w:p w14:paraId="2CD38C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Workstation self-assessment</w:t>
            </w:r>
          </w:p>
        </w:tc>
        <w:tc>
          <w:tcPr>
            <w:tcW w:w="0" w:type="auto"/>
            <w:vAlign w:val="center"/>
            <w:hideMark/>
          </w:tcPr>
          <w:p w14:paraId="4AC404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D.1</w:t>
            </w:r>
          </w:p>
        </w:tc>
        <w:tc>
          <w:tcPr>
            <w:tcW w:w="0" w:type="auto"/>
            <w:vAlign w:val="center"/>
            <w:hideMark/>
          </w:tcPr>
          <w:p w14:paraId="5CE6845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commencement, then annually</w:t>
            </w:r>
          </w:p>
        </w:tc>
        <w:tc>
          <w:tcPr>
            <w:tcW w:w="0" w:type="auto"/>
            <w:vAlign w:val="center"/>
            <w:hideMark/>
          </w:tcPr>
          <w:p w14:paraId="12710E6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Remote-first business; display screen risk is the main health and safety exposure.</w:t>
            </w:r>
          </w:p>
        </w:tc>
      </w:tr>
      <w:tr w:rsidR="009E2C69" w:rsidRPr="009E2C69" w14:paraId="6A2A22F0" w14:textId="77777777">
        <w:trPr>
          <w:tblCellSpacing w:w="15" w:type="dxa"/>
        </w:trPr>
        <w:tc>
          <w:tcPr>
            <w:tcW w:w="0" w:type="auto"/>
            <w:vAlign w:val="center"/>
            <w:hideMark/>
          </w:tcPr>
          <w:p w14:paraId="033A75A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7.9</w:t>
            </w:r>
          </w:p>
        </w:tc>
        <w:tc>
          <w:tcPr>
            <w:tcW w:w="0" w:type="auto"/>
            <w:vAlign w:val="center"/>
            <w:hideMark/>
          </w:tcPr>
          <w:p w14:paraId="74BFAA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VAT monitoring</w:t>
            </w:r>
          </w:p>
        </w:tc>
        <w:tc>
          <w:tcPr>
            <w:tcW w:w="0" w:type="auto"/>
            <w:vAlign w:val="center"/>
            <w:hideMark/>
          </w:tcPr>
          <w:p w14:paraId="77F5661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5.2</w:t>
            </w:r>
          </w:p>
        </w:tc>
        <w:tc>
          <w:tcPr>
            <w:tcW w:w="0" w:type="auto"/>
            <w:vAlign w:val="center"/>
            <w:hideMark/>
          </w:tcPr>
          <w:p w14:paraId="1C5AD6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in the management report</w:t>
            </w:r>
          </w:p>
        </w:tc>
        <w:tc>
          <w:tcPr>
            <w:tcW w:w="0" w:type="auto"/>
            <w:vAlign w:val="center"/>
            <w:hideMark/>
          </w:tcPr>
          <w:p w14:paraId="63DB2B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threshold test is a </w:t>
            </w:r>
            <w:r w:rsidRPr="009E2C69">
              <w:rPr>
                <w:rFonts w:ascii="Times New Roman" w:eastAsia="Times New Roman" w:hAnsi="Times New Roman" w:cs="Times New Roman"/>
                <w:b/>
                <w:bCs/>
                <w:kern w:val="0"/>
                <w:lang w:eastAsia="en-GB"/>
                <w14:ligatures w14:val="none"/>
              </w:rPr>
              <w:t>rolling twelve-month</w:t>
            </w:r>
            <w:r w:rsidRPr="009E2C69">
              <w:rPr>
                <w:rFonts w:ascii="Times New Roman" w:eastAsia="Times New Roman" w:hAnsi="Times New Roman" w:cs="Times New Roman"/>
                <w:kern w:val="0"/>
                <w:lang w:eastAsia="en-GB"/>
                <w14:ligatures w14:val="none"/>
              </w:rPr>
              <w:t xml:space="preserve"> one, not a financial </w:t>
            </w:r>
            <w:r w:rsidRPr="009E2C69">
              <w:rPr>
                <w:rFonts w:ascii="Times New Roman" w:eastAsia="Times New Roman" w:hAnsi="Times New Roman" w:cs="Times New Roman"/>
                <w:kern w:val="0"/>
                <w:lang w:eastAsia="en-GB"/>
                <w14:ligatures w14:val="none"/>
              </w:rPr>
              <w:lastRenderedPageBreak/>
              <w:t>year one. Late registration means accounting for VAT you never charged.</w:t>
            </w:r>
          </w:p>
        </w:tc>
      </w:tr>
      <w:tr w:rsidR="009E2C69" w:rsidRPr="009E2C69" w14:paraId="4C57DBFF" w14:textId="77777777">
        <w:trPr>
          <w:tblCellSpacing w:w="15" w:type="dxa"/>
        </w:trPr>
        <w:tc>
          <w:tcPr>
            <w:tcW w:w="0" w:type="auto"/>
            <w:vAlign w:val="center"/>
            <w:hideMark/>
          </w:tcPr>
          <w:p w14:paraId="6D8B48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7.10</w:t>
            </w:r>
          </w:p>
        </w:tc>
        <w:tc>
          <w:tcPr>
            <w:tcW w:w="0" w:type="auto"/>
            <w:vAlign w:val="center"/>
            <w:hideMark/>
          </w:tcPr>
          <w:p w14:paraId="135F8A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Pre-first-employee checklist</w:t>
            </w:r>
          </w:p>
        </w:tc>
        <w:tc>
          <w:tcPr>
            <w:tcW w:w="0" w:type="auto"/>
            <w:vAlign w:val="center"/>
            <w:hideMark/>
          </w:tcPr>
          <w:p w14:paraId="535BD1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10, Section 14</w:t>
            </w:r>
          </w:p>
        </w:tc>
        <w:tc>
          <w:tcPr>
            <w:tcW w:w="0" w:type="auto"/>
            <w:vAlign w:val="center"/>
            <w:hideMark/>
          </w:tcPr>
          <w:p w14:paraId="0489B9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anyone is hired</w:t>
            </w:r>
          </w:p>
        </w:tc>
        <w:tc>
          <w:tcPr>
            <w:tcW w:w="0" w:type="auto"/>
            <w:vAlign w:val="center"/>
            <w:hideMark/>
          </w:tcPr>
          <w:p w14:paraId="32AA5A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Twelve items with hard deadlines. Written statement on or </w:t>
            </w:r>
            <w:r w:rsidRPr="009E2C69">
              <w:rPr>
                <w:rFonts w:ascii="Times New Roman" w:eastAsia="Times New Roman" w:hAnsi="Times New Roman" w:cs="Times New Roman"/>
                <w:b/>
                <w:bCs/>
                <w:kern w:val="0"/>
                <w:lang w:eastAsia="en-GB"/>
                <w14:ligatures w14:val="none"/>
              </w:rPr>
              <w:t>before day one</w:t>
            </w:r>
            <w:r w:rsidRPr="009E2C69">
              <w:rPr>
                <w:rFonts w:ascii="Times New Roman" w:eastAsia="Times New Roman" w:hAnsi="Times New Roman" w:cs="Times New Roman"/>
                <w:kern w:val="0"/>
                <w:lang w:eastAsia="en-GB"/>
                <w14:ligatures w14:val="none"/>
              </w:rPr>
              <w:t>, not within two months. Employers' liability insurance from day one.</w:t>
            </w:r>
          </w:p>
        </w:tc>
      </w:tr>
      <w:tr w:rsidR="009E2C69" w:rsidRPr="009E2C69" w14:paraId="24828219" w14:textId="77777777">
        <w:trPr>
          <w:tblCellSpacing w:w="15" w:type="dxa"/>
        </w:trPr>
        <w:tc>
          <w:tcPr>
            <w:tcW w:w="0" w:type="auto"/>
            <w:vAlign w:val="center"/>
            <w:hideMark/>
          </w:tcPr>
          <w:p w14:paraId="619FA8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7.11</w:t>
            </w:r>
          </w:p>
        </w:tc>
        <w:tc>
          <w:tcPr>
            <w:tcW w:w="0" w:type="auto"/>
            <w:vAlign w:val="center"/>
            <w:hideMark/>
          </w:tcPr>
          <w:p w14:paraId="45034D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statement particulars</w:t>
            </w:r>
          </w:p>
        </w:tc>
        <w:tc>
          <w:tcPr>
            <w:tcW w:w="0" w:type="auto"/>
            <w:vAlign w:val="center"/>
            <w:hideMark/>
          </w:tcPr>
          <w:p w14:paraId="2AD3D0F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5, 5.1</w:t>
            </w:r>
          </w:p>
        </w:tc>
        <w:tc>
          <w:tcPr>
            <w:tcW w:w="0" w:type="auto"/>
            <w:vAlign w:val="center"/>
            <w:hideMark/>
          </w:tcPr>
          <w:p w14:paraId="1B0500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hire</w:t>
            </w:r>
          </w:p>
        </w:tc>
        <w:tc>
          <w:tcPr>
            <w:tcW w:w="0" w:type="auto"/>
            <w:vAlign w:val="center"/>
            <w:hideMark/>
          </w:tcPr>
          <w:p w14:paraId="29F12E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seventeen particulars required by section 1 Employment Rights Act 1996.</w:t>
            </w:r>
          </w:p>
        </w:tc>
      </w:tr>
      <w:tr w:rsidR="009E2C69" w:rsidRPr="009E2C69" w14:paraId="0DA526DD" w14:textId="77777777">
        <w:trPr>
          <w:tblCellSpacing w:w="15" w:type="dxa"/>
        </w:trPr>
        <w:tc>
          <w:tcPr>
            <w:tcW w:w="0" w:type="auto"/>
            <w:vAlign w:val="center"/>
            <w:hideMark/>
          </w:tcPr>
          <w:p w14:paraId="3DC5CD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7.12</w:t>
            </w:r>
          </w:p>
        </w:tc>
        <w:tc>
          <w:tcPr>
            <w:tcW w:w="0" w:type="auto"/>
            <w:vAlign w:val="center"/>
            <w:hideMark/>
          </w:tcPr>
          <w:p w14:paraId="685943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Employment contract clause checklist</w:t>
            </w:r>
          </w:p>
        </w:tc>
        <w:tc>
          <w:tcPr>
            <w:tcW w:w="0" w:type="auto"/>
            <w:vAlign w:val="center"/>
            <w:hideMark/>
          </w:tcPr>
          <w:p w14:paraId="437F20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5, 5.2</w:t>
            </w:r>
          </w:p>
        </w:tc>
        <w:tc>
          <w:tcPr>
            <w:tcW w:w="0" w:type="auto"/>
            <w:vAlign w:val="center"/>
            <w:hideMark/>
          </w:tcPr>
          <w:p w14:paraId="7F164A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hire</w:t>
            </w:r>
          </w:p>
        </w:tc>
        <w:tc>
          <w:tcPr>
            <w:tcW w:w="0" w:type="auto"/>
            <w:vAlign w:val="center"/>
            <w:hideMark/>
          </w:tcPr>
          <w:p w14:paraId="1530D6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clauses beyond the statutory statement, each cross-referenced to the policy it connects to.</w:t>
            </w:r>
          </w:p>
        </w:tc>
      </w:tr>
    </w:tbl>
    <w:p w14:paraId="13D0B51E"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78E47A70">
          <v:rect id="_x0000_i1044" style="width:0;height:1.5pt" o:hralign="center" o:hrstd="t" o:hr="t" fillcolor="#a0a0a0" stroked="f"/>
        </w:pict>
      </w:r>
    </w:p>
    <w:p w14:paraId="48C108A7"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8. WHICH FORM DO I NEED RIGHT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3670"/>
        <w:gridCol w:w="2022"/>
      </w:tblGrid>
      <w:tr w:rsidR="009E2C69" w:rsidRPr="009E2C69" w14:paraId="1E358CDF" w14:textId="77777777">
        <w:trPr>
          <w:tblHeader/>
          <w:tblCellSpacing w:w="15" w:type="dxa"/>
        </w:trPr>
        <w:tc>
          <w:tcPr>
            <w:tcW w:w="0" w:type="auto"/>
            <w:vAlign w:val="center"/>
            <w:hideMark/>
          </w:tcPr>
          <w:p w14:paraId="3075D6D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SITUATION</w:t>
            </w:r>
          </w:p>
        </w:tc>
        <w:tc>
          <w:tcPr>
            <w:tcW w:w="0" w:type="auto"/>
            <w:vAlign w:val="center"/>
            <w:hideMark/>
          </w:tcPr>
          <w:p w14:paraId="33BEFC3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40DDF61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r>
      <w:tr w:rsidR="009E2C69" w:rsidRPr="009E2C69" w14:paraId="402BC262" w14:textId="77777777">
        <w:trPr>
          <w:tblCellSpacing w:w="15" w:type="dxa"/>
        </w:trPr>
        <w:tc>
          <w:tcPr>
            <w:tcW w:w="0" w:type="auto"/>
            <w:vAlign w:val="center"/>
            <w:hideMark/>
          </w:tcPr>
          <w:p w14:paraId="0769FE5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Talking to a possible co-founder, partner or client for the first time</w:t>
            </w:r>
          </w:p>
        </w:tc>
        <w:tc>
          <w:tcPr>
            <w:tcW w:w="0" w:type="auto"/>
            <w:vAlign w:val="center"/>
            <w:hideMark/>
          </w:tcPr>
          <w:p w14:paraId="084DF8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Mutual NDA</w:t>
            </w:r>
          </w:p>
        </w:tc>
        <w:tc>
          <w:tcPr>
            <w:tcW w:w="0" w:type="auto"/>
            <w:vAlign w:val="center"/>
            <w:hideMark/>
          </w:tcPr>
          <w:p w14:paraId="32429A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01</w:t>
            </w:r>
          </w:p>
        </w:tc>
      </w:tr>
      <w:tr w:rsidR="009E2C69" w:rsidRPr="009E2C69" w14:paraId="618DBFBC" w14:textId="77777777">
        <w:trPr>
          <w:tblCellSpacing w:w="15" w:type="dxa"/>
        </w:trPr>
        <w:tc>
          <w:tcPr>
            <w:tcW w:w="0" w:type="auto"/>
            <w:vAlign w:val="center"/>
            <w:hideMark/>
          </w:tcPr>
          <w:p w14:paraId="69CD019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small assessment job under £500</w:t>
            </w:r>
          </w:p>
        </w:tc>
        <w:tc>
          <w:tcPr>
            <w:tcW w:w="0" w:type="auto"/>
            <w:vAlign w:val="center"/>
            <w:hideMark/>
          </w:tcPr>
          <w:p w14:paraId="78C1FAF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Short-form engagement letter</w:t>
            </w:r>
          </w:p>
        </w:tc>
        <w:tc>
          <w:tcPr>
            <w:tcW w:w="0" w:type="auto"/>
            <w:vAlign w:val="center"/>
            <w:hideMark/>
          </w:tcPr>
          <w:p w14:paraId="44C5565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1</w:t>
            </w:r>
          </w:p>
        </w:tc>
      </w:tr>
      <w:tr w:rsidR="009E2C69" w:rsidRPr="009E2C69" w14:paraId="48C97199" w14:textId="77777777">
        <w:trPr>
          <w:tblCellSpacing w:w="15" w:type="dxa"/>
        </w:trPr>
        <w:tc>
          <w:tcPr>
            <w:tcW w:w="0" w:type="auto"/>
            <w:vAlign w:val="center"/>
            <w:hideMark/>
          </w:tcPr>
          <w:p w14:paraId="16018C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anything larger or involving CVs</w:t>
            </w:r>
          </w:p>
        </w:tc>
        <w:tc>
          <w:tcPr>
            <w:tcW w:w="0" w:type="auto"/>
            <w:vAlign w:val="center"/>
            <w:hideMark/>
          </w:tcPr>
          <w:p w14:paraId="548097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 all three addenda</w:t>
            </w:r>
          </w:p>
        </w:tc>
        <w:tc>
          <w:tcPr>
            <w:tcW w:w="0" w:type="auto"/>
            <w:vAlign w:val="center"/>
            <w:hideMark/>
          </w:tcPr>
          <w:p w14:paraId="64526A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 File 04</w:t>
            </w:r>
          </w:p>
        </w:tc>
      </w:tr>
      <w:tr w:rsidR="009E2C69" w:rsidRPr="009E2C69" w14:paraId="0A1854B3" w14:textId="77777777">
        <w:trPr>
          <w:tblCellSpacing w:w="15" w:type="dxa"/>
        </w:trPr>
        <w:tc>
          <w:tcPr>
            <w:tcW w:w="0" w:type="auto"/>
            <w:vAlign w:val="center"/>
            <w:hideMark/>
          </w:tcPr>
          <w:p w14:paraId="7317D5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several businesses bidding together</w:t>
            </w:r>
          </w:p>
        </w:tc>
        <w:tc>
          <w:tcPr>
            <w:tcW w:w="0" w:type="auto"/>
            <w:vAlign w:val="center"/>
            <w:hideMark/>
          </w:tcPr>
          <w:p w14:paraId="746822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Engagement Terms</w:t>
            </w:r>
          </w:p>
        </w:tc>
        <w:tc>
          <w:tcPr>
            <w:tcW w:w="0" w:type="auto"/>
            <w:vAlign w:val="center"/>
            <w:hideMark/>
          </w:tcPr>
          <w:p w14:paraId="5A1246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02</w:t>
            </w:r>
          </w:p>
        </w:tc>
      </w:tr>
      <w:tr w:rsidR="009E2C69" w:rsidRPr="009E2C69" w14:paraId="5C642A63" w14:textId="77777777">
        <w:trPr>
          <w:tblCellSpacing w:w="15" w:type="dxa"/>
        </w:trPr>
        <w:tc>
          <w:tcPr>
            <w:tcW w:w="0" w:type="auto"/>
            <w:vAlign w:val="center"/>
            <w:hideMark/>
          </w:tcPr>
          <w:p w14:paraId="627617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Client wants ongoing monthly support</w:t>
            </w:r>
          </w:p>
        </w:tc>
        <w:tc>
          <w:tcPr>
            <w:tcW w:w="0" w:type="auto"/>
            <w:vAlign w:val="center"/>
            <w:hideMark/>
          </w:tcPr>
          <w:p w14:paraId="676392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Retainer Schedule</w:t>
            </w:r>
          </w:p>
        </w:tc>
        <w:tc>
          <w:tcPr>
            <w:tcW w:w="0" w:type="auto"/>
            <w:vAlign w:val="center"/>
            <w:hideMark/>
          </w:tcPr>
          <w:p w14:paraId="71FEF0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Part 1</w:t>
            </w:r>
          </w:p>
        </w:tc>
      </w:tr>
      <w:tr w:rsidR="009E2C69" w:rsidRPr="009E2C69" w14:paraId="55025132" w14:textId="77777777">
        <w:trPr>
          <w:tblCellSpacing w:w="15" w:type="dxa"/>
        </w:trPr>
        <w:tc>
          <w:tcPr>
            <w:tcW w:w="0" w:type="auto"/>
            <w:vAlign w:val="center"/>
            <w:hideMark/>
          </w:tcPr>
          <w:p w14:paraId="09BAF67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Accountant or solicitor wants to refer clients</w:t>
            </w:r>
          </w:p>
        </w:tc>
        <w:tc>
          <w:tcPr>
            <w:tcW w:w="0" w:type="auto"/>
            <w:vAlign w:val="center"/>
            <w:hideMark/>
          </w:tcPr>
          <w:p w14:paraId="648D75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Introducer Agreement</w:t>
            </w:r>
          </w:p>
        </w:tc>
        <w:tc>
          <w:tcPr>
            <w:tcW w:w="0" w:type="auto"/>
            <w:vAlign w:val="center"/>
            <w:hideMark/>
          </w:tcPr>
          <w:p w14:paraId="21E122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Part 2</w:t>
            </w:r>
          </w:p>
        </w:tc>
      </w:tr>
      <w:tr w:rsidR="009E2C69" w:rsidRPr="009E2C69" w14:paraId="69B07689" w14:textId="77777777">
        <w:trPr>
          <w:tblCellSpacing w:w="15" w:type="dxa"/>
        </w:trPr>
        <w:tc>
          <w:tcPr>
            <w:tcW w:w="0" w:type="auto"/>
            <w:vAlign w:val="center"/>
            <w:hideMark/>
          </w:tcPr>
          <w:p w14:paraId="54F1C2C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new engagement, whatever the size</w:t>
            </w:r>
          </w:p>
        </w:tc>
        <w:tc>
          <w:tcPr>
            <w:tcW w:w="0" w:type="auto"/>
            <w:vAlign w:val="center"/>
            <w:hideMark/>
          </w:tcPr>
          <w:p w14:paraId="59C94C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w:t>
            </w:r>
          </w:p>
        </w:tc>
        <w:tc>
          <w:tcPr>
            <w:tcW w:w="0" w:type="auto"/>
            <w:vAlign w:val="center"/>
            <w:hideMark/>
          </w:tcPr>
          <w:p w14:paraId="1A988E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E.1</w:t>
            </w:r>
          </w:p>
        </w:tc>
      </w:tr>
      <w:tr w:rsidR="009E2C69" w:rsidRPr="009E2C69" w14:paraId="4B3A61CB" w14:textId="77777777">
        <w:trPr>
          <w:tblCellSpacing w:w="15" w:type="dxa"/>
        </w:trPr>
        <w:tc>
          <w:tcPr>
            <w:tcW w:w="0" w:type="auto"/>
            <w:vAlign w:val="center"/>
            <w:hideMark/>
          </w:tcPr>
          <w:p w14:paraId="31C04E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Bringing in a freelancer for the first time</w:t>
            </w:r>
          </w:p>
        </w:tc>
        <w:tc>
          <w:tcPr>
            <w:tcW w:w="0" w:type="auto"/>
            <w:vAlign w:val="center"/>
            <w:hideMark/>
          </w:tcPr>
          <w:p w14:paraId="398E3BB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 DP Schedule + assurance record + status assessment</w:t>
            </w:r>
          </w:p>
        </w:tc>
        <w:tc>
          <w:tcPr>
            <w:tcW w:w="0" w:type="auto"/>
            <w:vAlign w:val="center"/>
            <w:hideMark/>
          </w:tcPr>
          <w:p w14:paraId="209690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File 05</w:t>
            </w:r>
          </w:p>
        </w:tc>
      </w:tr>
      <w:tr w:rsidR="009E2C69" w:rsidRPr="009E2C69" w14:paraId="1A76480E" w14:textId="77777777">
        <w:trPr>
          <w:tblCellSpacing w:w="15" w:type="dxa"/>
        </w:trPr>
        <w:tc>
          <w:tcPr>
            <w:tcW w:w="0" w:type="auto"/>
            <w:vAlign w:val="center"/>
            <w:hideMark/>
          </w:tcPr>
          <w:p w14:paraId="19C694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Instructing a freelancer on a specific job</w:t>
            </w:r>
          </w:p>
        </w:tc>
        <w:tc>
          <w:tcPr>
            <w:tcW w:w="0" w:type="auto"/>
            <w:vAlign w:val="center"/>
            <w:hideMark/>
          </w:tcPr>
          <w:p w14:paraId="722D27E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Instruction</w:t>
            </w:r>
          </w:p>
        </w:tc>
        <w:tc>
          <w:tcPr>
            <w:tcW w:w="0" w:type="auto"/>
            <w:vAlign w:val="center"/>
            <w:hideMark/>
          </w:tcPr>
          <w:p w14:paraId="49609D1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Sch 1</w:t>
            </w:r>
          </w:p>
        </w:tc>
      </w:tr>
      <w:tr w:rsidR="009E2C69" w:rsidRPr="009E2C69" w14:paraId="2D7A1516" w14:textId="77777777">
        <w:trPr>
          <w:tblCellSpacing w:w="15" w:type="dxa"/>
        </w:trPr>
        <w:tc>
          <w:tcPr>
            <w:tcW w:w="0" w:type="auto"/>
            <w:vAlign w:val="center"/>
            <w:hideMark/>
          </w:tcPr>
          <w:p w14:paraId="46B701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Freelancer wants to send someone else</w:t>
            </w:r>
          </w:p>
        </w:tc>
        <w:tc>
          <w:tcPr>
            <w:tcW w:w="0" w:type="auto"/>
            <w:vAlign w:val="center"/>
            <w:hideMark/>
          </w:tcPr>
          <w:p w14:paraId="75BC93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Substitute undertaking</w:t>
            </w:r>
          </w:p>
        </w:tc>
        <w:tc>
          <w:tcPr>
            <w:tcW w:w="0" w:type="auto"/>
            <w:vAlign w:val="center"/>
            <w:hideMark/>
          </w:tcPr>
          <w:p w14:paraId="5E819D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2</w:t>
            </w:r>
          </w:p>
        </w:tc>
      </w:tr>
      <w:tr w:rsidR="009E2C69" w:rsidRPr="009E2C69" w14:paraId="17E32F12" w14:textId="77777777">
        <w:trPr>
          <w:tblCellSpacing w:w="15" w:type="dxa"/>
        </w:trPr>
        <w:tc>
          <w:tcPr>
            <w:tcW w:w="0" w:type="auto"/>
            <w:vAlign w:val="center"/>
            <w:hideMark/>
          </w:tcPr>
          <w:p w14:paraId="3F87C45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Signing up any new software that touches client data</w:t>
            </w:r>
          </w:p>
        </w:tc>
        <w:tc>
          <w:tcPr>
            <w:tcW w:w="0" w:type="auto"/>
            <w:vAlign w:val="center"/>
            <w:hideMark/>
          </w:tcPr>
          <w:p w14:paraId="5684CF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 DPIA screening</w:t>
            </w:r>
          </w:p>
        </w:tc>
        <w:tc>
          <w:tcPr>
            <w:tcW w:w="0" w:type="auto"/>
            <w:vAlign w:val="center"/>
            <w:hideMark/>
          </w:tcPr>
          <w:p w14:paraId="401244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Annex F, File 15 Part 4</w:t>
            </w:r>
          </w:p>
        </w:tc>
      </w:tr>
      <w:tr w:rsidR="009E2C69" w:rsidRPr="009E2C69" w14:paraId="50E9F8E1" w14:textId="77777777">
        <w:trPr>
          <w:tblCellSpacing w:w="15" w:type="dxa"/>
        </w:trPr>
        <w:tc>
          <w:tcPr>
            <w:tcW w:w="0" w:type="auto"/>
            <w:vAlign w:val="center"/>
            <w:hideMark/>
          </w:tcPr>
          <w:p w14:paraId="019192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Wanting to use a new AI tool</w:t>
            </w:r>
          </w:p>
        </w:tc>
        <w:tc>
          <w:tcPr>
            <w:tcW w:w="0" w:type="auto"/>
            <w:vAlign w:val="center"/>
            <w:hideMark/>
          </w:tcPr>
          <w:p w14:paraId="48AAD4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then add to Approved AI Systems register</w:t>
            </w:r>
          </w:p>
        </w:tc>
        <w:tc>
          <w:tcPr>
            <w:tcW w:w="0" w:type="auto"/>
            <w:vAlign w:val="center"/>
            <w:hideMark/>
          </w:tcPr>
          <w:p w14:paraId="5C9EBD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Annex F, File 04 Annex A</w:t>
            </w:r>
          </w:p>
        </w:tc>
      </w:tr>
      <w:tr w:rsidR="009E2C69" w:rsidRPr="009E2C69" w14:paraId="611A0B1F" w14:textId="77777777">
        <w:trPr>
          <w:tblCellSpacing w:w="15" w:type="dxa"/>
        </w:trPr>
        <w:tc>
          <w:tcPr>
            <w:tcW w:w="0" w:type="auto"/>
            <w:vAlign w:val="center"/>
            <w:hideMark/>
          </w:tcPr>
          <w:p w14:paraId="3AFDB5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decision needing all three directors to agree</w:t>
            </w:r>
          </w:p>
        </w:tc>
        <w:tc>
          <w:tcPr>
            <w:tcW w:w="0" w:type="auto"/>
            <w:vAlign w:val="center"/>
            <w:hideMark/>
          </w:tcPr>
          <w:p w14:paraId="321FD0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Material Decision proposal, then consent or casting determination</w:t>
            </w:r>
          </w:p>
        </w:tc>
        <w:tc>
          <w:tcPr>
            <w:tcW w:w="0" w:type="auto"/>
            <w:vAlign w:val="center"/>
            <w:hideMark/>
          </w:tcPr>
          <w:p w14:paraId="09857D0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forms 2–4</w:t>
            </w:r>
          </w:p>
        </w:tc>
      </w:tr>
      <w:tr w:rsidR="009E2C69" w:rsidRPr="009E2C69" w14:paraId="33A1228D" w14:textId="77777777">
        <w:trPr>
          <w:tblCellSpacing w:w="15" w:type="dxa"/>
        </w:trPr>
        <w:tc>
          <w:tcPr>
            <w:tcW w:w="0" w:type="auto"/>
            <w:vAlign w:val="center"/>
            <w:hideMark/>
          </w:tcPr>
          <w:p w14:paraId="3F298A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director not pulling their weight</w:t>
            </w:r>
          </w:p>
        </w:tc>
        <w:tc>
          <w:tcPr>
            <w:tcW w:w="0" w:type="auto"/>
            <w:vAlign w:val="center"/>
            <w:hideMark/>
          </w:tcPr>
          <w:p w14:paraId="37A368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Performance Notice — </w:t>
            </w:r>
            <w:r w:rsidRPr="009E2C69">
              <w:rPr>
                <w:rFonts w:ascii="Times New Roman" w:eastAsia="Times New Roman" w:hAnsi="Times New Roman" w:cs="Times New Roman"/>
                <w:b/>
                <w:bCs/>
                <w:kern w:val="0"/>
                <w:lang w:eastAsia="en-GB"/>
                <w14:ligatures w14:val="none"/>
              </w:rPr>
              <w:t>minimum 21 days</w:t>
            </w:r>
          </w:p>
        </w:tc>
        <w:tc>
          <w:tcPr>
            <w:tcW w:w="0" w:type="auto"/>
            <w:vAlign w:val="center"/>
            <w:hideMark/>
          </w:tcPr>
          <w:p w14:paraId="12E9EFC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5</w:t>
            </w:r>
          </w:p>
        </w:tc>
      </w:tr>
      <w:tr w:rsidR="009E2C69" w:rsidRPr="009E2C69" w14:paraId="770D9F3B" w14:textId="77777777">
        <w:trPr>
          <w:tblCellSpacing w:w="15" w:type="dxa"/>
        </w:trPr>
        <w:tc>
          <w:tcPr>
            <w:tcW w:w="0" w:type="auto"/>
            <w:vAlign w:val="center"/>
            <w:hideMark/>
          </w:tcPr>
          <w:p w14:paraId="47B752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director leaving</w:t>
            </w:r>
          </w:p>
        </w:tc>
        <w:tc>
          <w:tcPr>
            <w:tcW w:w="0" w:type="auto"/>
            <w:vAlign w:val="center"/>
            <w:hideMark/>
          </w:tcPr>
          <w:p w14:paraId="5EF69C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Leaver Notice — </w:t>
            </w:r>
            <w:r w:rsidRPr="009E2C69">
              <w:rPr>
                <w:rFonts w:ascii="Times New Roman" w:eastAsia="Times New Roman" w:hAnsi="Times New Roman" w:cs="Times New Roman"/>
                <w:b/>
                <w:bCs/>
                <w:kern w:val="0"/>
                <w:lang w:eastAsia="en-GB"/>
                <w14:ligatures w14:val="none"/>
              </w:rPr>
              <w:t>within 28 days</w:t>
            </w:r>
          </w:p>
        </w:tc>
        <w:tc>
          <w:tcPr>
            <w:tcW w:w="0" w:type="auto"/>
            <w:vAlign w:val="center"/>
            <w:hideMark/>
          </w:tcPr>
          <w:p w14:paraId="35CF918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7</w:t>
            </w:r>
          </w:p>
        </w:tc>
      </w:tr>
      <w:tr w:rsidR="009E2C69" w:rsidRPr="009E2C69" w14:paraId="1FC997C4" w14:textId="77777777">
        <w:trPr>
          <w:tblCellSpacing w:w="15" w:type="dxa"/>
        </w:trPr>
        <w:tc>
          <w:tcPr>
            <w:tcW w:w="0" w:type="auto"/>
            <w:vAlign w:val="center"/>
            <w:hideMark/>
          </w:tcPr>
          <w:p w14:paraId="60A2A2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Someone new acquiring shares</w:t>
            </w:r>
          </w:p>
        </w:tc>
        <w:tc>
          <w:tcPr>
            <w:tcW w:w="0" w:type="auto"/>
            <w:vAlign w:val="center"/>
            <w:hideMark/>
          </w:tcPr>
          <w:p w14:paraId="5A3E238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Adherence</w:t>
            </w:r>
          </w:p>
        </w:tc>
        <w:tc>
          <w:tcPr>
            <w:tcW w:w="0" w:type="auto"/>
            <w:vAlign w:val="center"/>
            <w:hideMark/>
          </w:tcPr>
          <w:p w14:paraId="1CE5325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w:t>
            </w:r>
          </w:p>
        </w:tc>
      </w:tr>
      <w:tr w:rsidR="009E2C69" w:rsidRPr="009E2C69" w14:paraId="5AF229EF" w14:textId="77777777">
        <w:trPr>
          <w:tblCellSpacing w:w="15" w:type="dxa"/>
        </w:trPr>
        <w:tc>
          <w:tcPr>
            <w:tcW w:w="0" w:type="auto"/>
            <w:vAlign w:val="center"/>
            <w:hideMark/>
          </w:tcPr>
          <w:p w14:paraId="13CFF1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meeting</w:t>
            </w:r>
          </w:p>
        </w:tc>
        <w:tc>
          <w:tcPr>
            <w:tcW w:w="0" w:type="auto"/>
            <w:vAlign w:val="center"/>
            <w:hideMark/>
          </w:tcPr>
          <w:p w14:paraId="2B6AD7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Minute template</w:t>
            </w:r>
          </w:p>
        </w:tc>
        <w:tc>
          <w:tcPr>
            <w:tcW w:w="0" w:type="auto"/>
            <w:vAlign w:val="center"/>
            <w:hideMark/>
          </w:tcPr>
          <w:p w14:paraId="3CDBE5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8</w:t>
            </w:r>
          </w:p>
        </w:tc>
      </w:tr>
      <w:tr w:rsidR="009E2C69" w:rsidRPr="009E2C69" w14:paraId="375777EA" w14:textId="77777777">
        <w:trPr>
          <w:tblCellSpacing w:w="15" w:type="dxa"/>
        </w:trPr>
        <w:tc>
          <w:tcPr>
            <w:tcW w:w="0" w:type="auto"/>
            <w:vAlign w:val="center"/>
            <w:hideMark/>
          </w:tcPr>
          <w:p w14:paraId="173F94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client is unhappy</w:t>
            </w:r>
          </w:p>
        </w:tc>
        <w:tc>
          <w:tcPr>
            <w:tcW w:w="0" w:type="auto"/>
            <w:vAlign w:val="center"/>
            <w:hideMark/>
          </w:tcPr>
          <w:p w14:paraId="7D3D958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Complaints procedure — and consider notifying insurers first</w:t>
            </w:r>
          </w:p>
        </w:tc>
        <w:tc>
          <w:tcPr>
            <w:tcW w:w="0" w:type="auto"/>
            <w:vAlign w:val="center"/>
            <w:hideMark/>
          </w:tcPr>
          <w:p w14:paraId="3E9D65C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Part C</w:t>
            </w:r>
          </w:p>
        </w:tc>
      </w:tr>
      <w:tr w:rsidR="009E2C69" w:rsidRPr="009E2C69" w14:paraId="29B6080C" w14:textId="77777777">
        <w:trPr>
          <w:tblCellSpacing w:w="15" w:type="dxa"/>
        </w:trPr>
        <w:tc>
          <w:tcPr>
            <w:tcW w:w="0" w:type="auto"/>
            <w:vAlign w:val="center"/>
            <w:hideMark/>
          </w:tcPr>
          <w:p w14:paraId="31A00A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Lost laptop, misdirected email, suspected hack</w:t>
            </w:r>
          </w:p>
        </w:tc>
        <w:tc>
          <w:tcPr>
            <w:tcW w:w="0" w:type="auto"/>
            <w:vAlign w:val="center"/>
            <w:hideMark/>
          </w:tcPr>
          <w:p w14:paraId="63D0D5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procedure and log</w:t>
            </w:r>
          </w:p>
        </w:tc>
        <w:tc>
          <w:tcPr>
            <w:tcW w:w="0" w:type="auto"/>
            <w:vAlign w:val="center"/>
            <w:hideMark/>
          </w:tcPr>
          <w:p w14:paraId="5DABFA8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D.5</w:t>
            </w:r>
          </w:p>
        </w:tc>
      </w:tr>
      <w:tr w:rsidR="009E2C69" w:rsidRPr="009E2C69" w14:paraId="4245BFD0" w14:textId="77777777">
        <w:trPr>
          <w:tblCellSpacing w:w="15" w:type="dxa"/>
        </w:trPr>
        <w:tc>
          <w:tcPr>
            <w:tcW w:w="0" w:type="auto"/>
            <w:vAlign w:val="center"/>
            <w:hideMark/>
          </w:tcPr>
          <w:p w14:paraId="475F7E6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Someone asks what data you hold about them</w:t>
            </w:r>
          </w:p>
        </w:tc>
        <w:tc>
          <w:tcPr>
            <w:tcW w:w="0" w:type="auto"/>
            <w:vAlign w:val="center"/>
            <w:hideMark/>
          </w:tcPr>
          <w:p w14:paraId="358087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subject request procedure</w:t>
            </w:r>
          </w:p>
        </w:tc>
        <w:tc>
          <w:tcPr>
            <w:tcW w:w="0" w:type="auto"/>
            <w:vAlign w:val="center"/>
            <w:hideMark/>
          </w:tcPr>
          <w:p w14:paraId="1EDA92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D.6</w:t>
            </w:r>
          </w:p>
        </w:tc>
      </w:tr>
      <w:tr w:rsidR="009E2C69" w:rsidRPr="009E2C69" w14:paraId="183D0DD1" w14:textId="77777777">
        <w:trPr>
          <w:tblCellSpacing w:w="15" w:type="dxa"/>
        </w:trPr>
        <w:tc>
          <w:tcPr>
            <w:tcW w:w="0" w:type="auto"/>
            <w:vAlign w:val="center"/>
            <w:hideMark/>
          </w:tcPr>
          <w:p w14:paraId="08DC687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Anyone leaves for any reason</w:t>
            </w:r>
          </w:p>
        </w:tc>
        <w:tc>
          <w:tcPr>
            <w:tcW w:w="0" w:type="auto"/>
            <w:vAlign w:val="center"/>
            <w:hideMark/>
          </w:tcPr>
          <w:p w14:paraId="0AA0E8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Access revocation checklist, same day</w:t>
            </w:r>
          </w:p>
        </w:tc>
        <w:tc>
          <w:tcPr>
            <w:tcW w:w="0" w:type="auto"/>
            <w:vAlign w:val="center"/>
            <w:hideMark/>
          </w:tcPr>
          <w:p w14:paraId="5A15FA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B.1</w:t>
            </w:r>
          </w:p>
        </w:tc>
      </w:tr>
      <w:tr w:rsidR="009E2C69" w:rsidRPr="009E2C69" w14:paraId="15CF13A7" w14:textId="77777777">
        <w:trPr>
          <w:tblCellSpacing w:w="15" w:type="dxa"/>
        </w:trPr>
        <w:tc>
          <w:tcPr>
            <w:tcW w:w="0" w:type="auto"/>
            <w:vAlign w:val="center"/>
            <w:hideMark/>
          </w:tcPr>
          <w:p w14:paraId="7947D3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Finishing an engagement</w:t>
            </w:r>
          </w:p>
        </w:tc>
        <w:tc>
          <w:tcPr>
            <w:tcW w:w="0" w:type="auto"/>
            <w:vAlign w:val="center"/>
            <w:hideMark/>
          </w:tcPr>
          <w:p w14:paraId="537C83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closing checklist</w:t>
            </w:r>
          </w:p>
        </w:tc>
        <w:tc>
          <w:tcPr>
            <w:tcW w:w="0" w:type="auto"/>
            <w:vAlign w:val="center"/>
            <w:hideMark/>
          </w:tcPr>
          <w:p w14:paraId="6AC4AA8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E.2</w:t>
            </w:r>
          </w:p>
        </w:tc>
      </w:tr>
      <w:tr w:rsidR="009E2C69" w:rsidRPr="009E2C69" w14:paraId="2370F377" w14:textId="77777777">
        <w:trPr>
          <w:tblCellSpacing w:w="15" w:type="dxa"/>
        </w:trPr>
        <w:tc>
          <w:tcPr>
            <w:tcW w:w="0" w:type="auto"/>
            <w:vAlign w:val="center"/>
            <w:hideMark/>
          </w:tcPr>
          <w:p w14:paraId="4431A4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First hire</w:t>
            </w:r>
          </w:p>
        </w:tc>
        <w:tc>
          <w:tcPr>
            <w:tcW w:w="0" w:type="auto"/>
            <w:vAlign w:val="center"/>
            <w:hideMark/>
          </w:tcPr>
          <w:p w14:paraId="3F8F93A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Pre-employment checklist</w:t>
            </w:r>
          </w:p>
        </w:tc>
        <w:tc>
          <w:tcPr>
            <w:tcW w:w="0" w:type="auto"/>
            <w:vAlign w:val="center"/>
            <w:hideMark/>
          </w:tcPr>
          <w:p w14:paraId="022012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10, Section 14</w:t>
            </w:r>
          </w:p>
        </w:tc>
      </w:tr>
    </w:tbl>
    <w:p w14:paraId="3F38D15B"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4FBB848F">
          <v:rect id="_x0000_i1043" alt="" style="width:451.3pt;height:.05pt;mso-width-percent:0;mso-height-percent:0;mso-width-percent:0;mso-height-percent:0" o:hralign="center" o:hrstd="t" o:hr="t" fillcolor="#a0a0a0" stroked="f"/>
        </w:pict>
      </w:r>
    </w:p>
    <w:p w14:paraId="01C47896"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9. WHO OWNS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059"/>
      </w:tblGrid>
      <w:tr w:rsidR="009E2C69" w:rsidRPr="009E2C69" w14:paraId="68BE7BD6" w14:textId="77777777">
        <w:trPr>
          <w:tblHeader/>
          <w:tblCellSpacing w:w="15" w:type="dxa"/>
        </w:trPr>
        <w:tc>
          <w:tcPr>
            <w:tcW w:w="0" w:type="auto"/>
            <w:vAlign w:val="center"/>
            <w:hideMark/>
          </w:tcPr>
          <w:p w14:paraId="6952D4E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PERSON</w:t>
            </w:r>
          </w:p>
        </w:tc>
        <w:tc>
          <w:tcPr>
            <w:tcW w:w="0" w:type="auto"/>
            <w:vAlign w:val="center"/>
            <w:hideMark/>
          </w:tcPr>
          <w:p w14:paraId="29BD930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RESPONSIBLE FOR</w:t>
            </w:r>
          </w:p>
        </w:tc>
      </w:tr>
      <w:tr w:rsidR="009E2C69" w:rsidRPr="009E2C69" w14:paraId="6AF18C4D" w14:textId="77777777">
        <w:trPr>
          <w:tblCellSpacing w:w="15" w:type="dxa"/>
        </w:trPr>
        <w:tc>
          <w:tcPr>
            <w:tcW w:w="0" w:type="auto"/>
            <w:vAlign w:val="center"/>
            <w:hideMark/>
          </w:tcPr>
          <w:p w14:paraId="6EA1AA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Founder</w:t>
            </w:r>
          </w:p>
        </w:tc>
        <w:tc>
          <w:tcPr>
            <w:tcW w:w="0" w:type="auto"/>
            <w:vAlign w:val="center"/>
            <w:hideMark/>
          </w:tcPr>
          <w:p w14:paraId="4B071D0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 gifts and hospitality register · bribery risk assessment · breach procedure and ICO notification · insurer notification · all governance notices (Performance, Leaver, Material Decision determinations) · associate status assessments · supplier approvals · information security overall</w:t>
            </w:r>
          </w:p>
        </w:tc>
      </w:tr>
      <w:tr w:rsidR="009E2C69" w:rsidRPr="009E2C69" w14:paraId="6ABFE6C8" w14:textId="77777777">
        <w:trPr>
          <w:tblCellSpacing w:w="15" w:type="dxa"/>
        </w:trPr>
        <w:tc>
          <w:tcPr>
            <w:tcW w:w="0" w:type="auto"/>
            <w:vAlign w:val="center"/>
            <w:hideMark/>
          </w:tcPr>
          <w:p w14:paraId="4FA062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Samir (Finance &amp; Sector Lead)</w:t>
            </w:r>
          </w:p>
        </w:tc>
        <w:tc>
          <w:tcPr>
            <w:tcW w:w="0" w:type="auto"/>
            <w:vAlign w:val="center"/>
            <w:hideMark/>
          </w:tcPr>
          <w:p w14:paraId="56EA04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management report · VAT monitoring · statutory registers and filing calendar · records of processing · retention schedule · supplier register · vesting record · register of Material Decisions</w:t>
            </w:r>
          </w:p>
        </w:tc>
      </w:tr>
      <w:tr w:rsidR="009E2C69" w:rsidRPr="009E2C69" w14:paraId="531A446F" w14:textId="77777777">
        <w:trPr>
          <w:tblCellSpacing w:w="15" w:type="dxa"/>
        </w:trPr>
        <w:tc>
          <w:tcPr>
            <w:tcW w:w="0" w:type="auto"/>
            <w:vAlign w:val="center"/>
            <w:hideMark/>
          </w:tcPr>
          <w:p w14:paraId="5F0568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Sharif (Business Development Lead)</w:t>
            </w:r>
          </w:p>
        </w:tc>
        <w:tc>
          <w:tcPr>
            <w:tcW w:w="0" w:type="auto"/>
            <w:vAlign w:val="center"/>
            <w:hideMark/>
          </w:tcPr>
          <w:p w14:paraId="6D78EC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Pipeline record · conflict checks at enquiry stage · retainer opportunity summaries</w:t>
            </w:r>
          </w:p>
        </w:tc>
      </w:tr>
      <w:tr w:rsidR="009E2C69" w:rsidRPr="009E2C69" w14:paraId="648AA0ED" w14:textId="77777777">
        <w:trPr>
          <w:tblCellSpacing w:w="15" w:type="dxa"/>
        </w:trPr>
        <w:tc>
          <w:tcPr>
            <w:tcW w:w="0" w:type="auto"/>
            <w:vAlign w:val="center"/>
            <w:hideMark/>
          </w:tcPr>
          <w:p w14:paraId="31C04A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Responsible director on each engagement</w:t>
            </w:r>
          </w:p>
        </w:tc>
        <w:tc>
          <w:tcPr>
            <w:tcW w:w="0" w:type="auto"/>
            <w:vAlign w:val="center"/>
            <w:hideMark/>
          </w:tcPr>
          <w:p w14:paraId="3903DE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and closing checklists · AI use record · engagement particulars · conflicts register entry · engagement tracker</w:t>
            </w:r>
          </w:p>
        </w:tc>
      </w:tr>
      <w:tr w:rsidR="009E2C69" w:rsidRPr="009E2C69" w14:paraId="24686E95" w14:textId="77777777">
        <w:trPr>
          <w:tblCellSpacing w:w="15" w:type="dxa"/>
        </w:trPr>
        <w:tc>
          <w:tcPr>
            <w:tcW w:w="0" w:type="auto"/>
            <w:vAlign w:val="center"/>
            <w:hideMark/>
          </w:tcPr>
          <w:p w14:paraId="354C84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associate</w:t>
            </w:r>
          </w:p>
        </w:tc>
        <w:tc>
          <w:tcPr>
            <w:tcW w:w="0" w:type="auto"/>
            <w:vAlign w:val="center"/>
            <w:hideMark/>
          </w:tcPr>
          <w:p w14:paraId="5388065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Assurance record annually · certificate of deletion each engagement · immediate breach reporting</w:t>
            </w:r>
          </w:p>
        </w:tc>
      </w:tr>
      <w:tr w:rsidR="009E2C69" w:rsidRPr="009E2C69" w14:paraId="16560EDE" w14:textId="77777777">
        <w:trPr>
          <w:tblCellSpacing w:w="15" w:type="dxa"/>
        </w:trPr>
        <w:tc>
          <w:tcPr>
            <w:tcW w:w="0" w:type="auto"/>
            <w:vAlign w:val="center"/>
            <w:hideMark/>
          </w:tcPr>
          <w:p w14:paraId="556713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Everyone</w:t>
            </w:r>
          </w:p>
        </w:tc>
        <w:tc>
          <w:tcPr>
            <w:tcW w:w="0" w:type="auto"/>
            <w:vAlign w:val="center"/>
            <w:hideMark/>
          </w:tcPr>
          <w:p w14:paraId="6E5D8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Report any security incident within 24 hours. There is no penalty for reporting promptly and in good faith. There is one for concealment.</w:t>
            </w:r>
          </w:p>
        </w:tc>
      </w:tr>
    </w:tbl>
    <w:p w14:paraId="7E852280"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79CCFC2A">
          <v:rect id="_x0000_i1042" alt="" style="width:451.3pt;height:.05pt;mso-width-percent:0;mso-height-percent:0;mso-width-percent:0;mso-height-percent:0" o:hralign="center" o:hrstd="t" o:hr="t" fillcolor="#a0a0a0" stroked="f"/>
        </w:pict>
      </w:r>
    </w:p>
    <w:p w14:paraId="5489901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10.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166"/>
      </w:tblGrid>
      <w:tr w:rsidR="009E2C69" w:rsidRPr="009E2C69" w14:paraId="52888B30" w14:textId="77777777">
        <w:trPr>
          <w:tblHeader/>
          <w:tblCellSpacing w:w="15" w:type="dxa"/>
        </w:trPr>
        <w:tc>
          <w:tcPr>
            <w:tcW w:w="0" w:type="auto"/>
            <w:vAlign w:val="center"/>
            <w:hideMark/>
          </w:tcPr>
          <w:p w14:paraId="3C6AC64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744B96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WHAT</w:t>
            </w:r>
          </w:p>
        </w:tc>
      </w:tr>
      <w:tr w:rsidR="009E2C69" w:rsidRPr="009E2C69" w14:paraId="3ADDF11E" w14:textId="77777777">
        <w:trPr>
          <w:tblCellSpacing w:w="15" w:type="dxa"/>
        </w:trPr>
        <w:tc>
          <w:tcPr>
            <w:tcW w:w="0" w:type="auto"/>
            <w:vAlign w:val="center"/>
            <w:hideMark/>
          </w:tcPr>
          <w:p w14:paraId="5B509F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engagement</w:t>
            </w:r>
          </w:p>
        </w:tc>
        <w:tc>
          <w:tcPr>
            <w:tcW w:w="0" w:type="auto"/>
            <w:vAlign w:val="center"/>
            <w:hideMark/>
          </w:tcPr>
          <w:p w14:paraId="3EF793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 · conflict check and register entry · AI use record · engagement particulars · file closing checklist · associate deletion certificate</w:t>
            </w:r>
          </w:p>
        </w:tc>
      </w:tr>
      <w:tr w:rsidR="009E2C69" w:rsidRPr="009E2C69" w14:paraId="772D07A1" w14:textId="77777777">
        <w:trPr>
          <w:tblCellSpacing w:w="15" w:type="dxa"/>
        </w:trPr>
        <w:tc>
          <w:tcPr>
            <w:tcW w:w="0" w:type="auto"/>
            <w:vAlign w:val="center"/>
            <w:hideMark/>
          </w:tcPr>
          <w:p w14:paraId="6F77CF8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Within 24 hours of it happening</w:t>
            </w:r>
          </w:p>
        </w:tc>
        <w:tc>
          <w:tcPr>
            <w:tcW w:w="0" w:type="auto"/>
            <w:vAlign w:val="center"/>
            <w:hideMark/>
          </w:tcPr>
          <w:p w14:paraId="62627B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security or data incident reported to the Founder · associate breach notification</w:t>
            </w:r>
          </w:p>
        </w:tc>
      </w:tr>
      <w:tr w:rsidR="009E2C69" w:rsidRPr="009E2C69" w14:paraId="094B14AD" w14:textId="77777777">
        <w:trPr>
          <w:tblCellSpacing w:w="15" w:type="dxa"/>
        </w:trPr>
        <w:tc>
          <w:tcPr>
            <w:tcW w:w="0" w:type="auto"/>
            <w:vAlign w:val="center"/>
            <w:hideMark/>
          </w:tcPr>
          <w:p w14:paraId="158AA4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Monthly</w:t>
            </w:r>
          </w:p>
        </w:tc>
        <w:tc>
          <w:tcPr>
            <w:tcW w:w="0" w:type="auto"/>
            <w:vAlign w:val="center"/>
            <w:hideMark/>
          </w:tcPr>
          <w:p w14:paraId="02CCE3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meeting and minute · management report · VAT rolling twelve-month calculation · review of gifts, conflicts, complaints and incident registers · nil returns where nothing has occurred</w:t>
            </w:r>
          </w:p>
        </w:tc>
      </w:tr>
      <w:tr w:rsidR="009E2C69" w:rsidRPr="009E2C69" w14:paraId="4C072074" w14:textId="77777777">
        <w:trPr>
          <w:tblCellSpacing w:w="15" w:type="dxa"/>
        </w:trPr>
        <w:tc>
          <w:tcPr>
            <w:tcW w:w="0" w:type="auto"/>
            <w:vAlign w:val="center"/>
            <w:hideMark/>
          </w:tcPr>
          <w:p w14:paraId="2064D9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Quarterly</w:t>
            </w:r>
          </w:p>
        </w:tc>
        <w:tc>
          <w:tcPr>
            <w:tcW w:w="0" w:type="auto"/>
            <w:vAlign w:val="center"/>
            <w:hideMark/>
          </w:tcPr>
          <w:p w14:paraId="580B7E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Backup restoration test · associate bench refresh</w:t>
            </w:r>
          </w:p>
        </w:tc>
      </w:tr>
      <w:tr w:rsidR="009E2C69" w:rsidRPr="009E2C69" w14:paraId="48552316" w14:textId="77777777">
        <w:trPr>
          <w:tblCellSpacing w:w="15" w:type="dxa"/>
        </w:trPr>
        <w:tc>
          <w:tcPr>
            <w:tcW w:w="0" w:type="auto"/>
            <w:vAlign w:val="center"/>
            <w:hideMark/>
          </w:tcPr>
          <w:p w14:paraId="4874D87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Annually</w:t>
            </w:r>
          </w:p>
        </w:tc>
        <w:tc>
          <w:tcPr>
            <w:tcW w:w="0" w:type="auto"/>
            <w:vAlign w:val="center"/>
            <w:hideMark/>
          </w:tcPr>
          <w:p w14:paraId="45A0E3E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assurance records · associate status reassessment · insurance renewal and adequacy review · bribery risk assessment · workstation self-assessments · vesting record circulated · policies reviewed · supplier register reviewed</w:t>
            </w:r>
          </w:p>
        </w:tc>
      </w:tr>
      <w:tr w:rsidR="009E2C69" w:rsidRPr="009E2C69" w14:paraId="37EBA7C6" w14:textId="77777777">
        <w:trPr>
          <w:tblCellSpacing w:w="15" w:type="dxa"/>
        </w:trPr>
        <w:tc>
          <w:tcPr>
            <w:tcW w:w="0" w:type="auto"/>
            <w:vAlign w:val="center"/>
            <w:hideMark/>
          </w:tcPr>
          <w:p w14:paraId="052FE5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six months</w:t>
            </w:r>
          </w:p>
        </w:tc>
        <w:tc>
          <w:tcPr>
            <w:tcW w:w="0" w:type="auto"/>
            <w:vAlign w:val="center"/>
            <w:hideMark/>
          </w:tcPr>
          <w:p w14:paraId="199659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verified against provider terms</w:t>
            </w:r>
          </w:p>
        </w:tc>
      </w:tr>
      <w:tr w:rsidR="009E2C69" w:rsidRPr="009E2C69" w14:paraId="7F59B4C7" w14:textId="77777777">
        <w:trPr>
          <w:tblCellSpacing w:w="15" w:type="dxa"/>
        </w:trPr>
        <w:tc>
          <w:tcPr>
            <w:tcW w:w="0" w:type="auto"/>
            <w:vAlign w:val="center"/>
            <w:hideMark/>
          </w:tcPr>
          <w:p w14:paraId="66902C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On trigger</w:t>
            </w:r>
          </w:p>
        </w:tc>
        <w:tc>
          <w:tcPr>
            <w:tcW w:w="0" w:type="auto"/>
            <w:vAlign w:val="center"/>
            <w:hideMark/>
          </w:tcPr>
          <w:p w14:paraId="4407EE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Leaver Notice within 28 days · Performance Notice with 21-day minimum · breach notifications at 48 and 72 hours · access revocation on the day of departure · DPIA before any new system · supplier assessment before any new vendor</w:t>
            </w:r>
          </w:p>
        </w:tc>
      </w:tr>
    </w:tbl>
    <w:p w14:paraId="2F793BE4"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5A6C2F75">
          <v:rect id="_x0000_i1041" style="width:0;height:1.5pt" o:hralign="center" o:hrstd="t" o:hr="t" fillcolor="#a0a0a0" stroked="f"/>
        </w:pict>
      </w:r>
    </w:p>
    <w:p w14:paraId="58FB6E92"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11. THE POINT OF ALL THIS</w:t>
      </w:r>
    </w:p>
    <w:p w14:paraId="40CDC19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Three practical reasons, in the order they will bite.</w:t>
      </w:r>
    </w:p>
    <w:p w14:paraId="30887C9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 contracting authority will ask.</w:t>
      </w:r>
      <w:r w:rsidRPr="009E2C69">
        <w:rPr>
          <w:rFonts w:ascii="Times New Roman" w:eastAsia="Times New Roman" w:hAnsi="Times New Roman" w:cs="Times New Roman"/>
          <w:kern w:val="0"/>
          <w:lang w:eastAsia="en-GB"/>
          <w14:ligatures w14:val="none"/>
        </w:rPr>
        <w:t xml:space="preserve"> Public sector PQQs routinely require a written health and safety policy, an anti-bribery policy, a complaints procedure, evidence of insurance, data protection assurances and increasingly a statement on AI use. You are a bid consultancy. Being unable to answer your own qualification questions is not a good look in front of a client whose qualification questions you are answering for a fee.</w:t>
      </w:r>
    </w:p>
    <w:p w14:paraId="7F1FC82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An insurer will ask.</w:t>
      </w:r>
      <w:r w:rsidRPr="009E2C69">
        <w:rPr>
          <w:rFonts w:ascii="Times New Roman" w:eastAsia="Times New Roman" w:hAnsi="Times New Roman" w:cs="Times New Roman"/>
          <w:kern w:val="0"/>
          <w:lang w:eastAsia="en-GB"/>
          <w14:ligatures w14:val="none"/>
        </w:rPr>
        <w:t xml:space="preserve"> Professional indemnity cover is claims-made and carries notification conditions precedent. When something goes wrong, the questions are what your procedure was, whether you followed it, and when you notified. Contemporaneous records are the difference between a defended claim and an uninsured one.</w:t>
      </w:r>
    </w:p>
    <w:p w14:paraId="014E553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ICO might ask.</w:t>
      </w:r>
      <w:r w:rsidRPr="009E2C69">
        <w:rPr>
          <w:rFonts w:ascii="Times New Roman" w:eastAsia="Times New Roman" w:hAnsi="Times New Roman" w:cs="Times New Roman"/>
          <w:kern w:val="0"/>
          <w:lang w:eastAsia="en-GB"/>
          <w14:ligatures w14:val="none"/>
        </w:rPr>
        <w:t xml:space="preserve"> You process personal data as a processor for clients from your first engagement. Article 30 records, an Article 28 contract, a retention schedule and a breach log </w:t>
      </w:r>
      <w:r w:rsidRPr="009E2C69">
        <w:rPr>
          <w:rFonts w:ascii="Times New Roman" w:eastAsia="Times New Roman" w:hAnsi="Times New Roman" w:cs="Times New Roman"/>
          <w:kern w:val="0"/>
          <w:lang w:eastAsia="en-GB"/>
          <w14:ligatures w14:val="none"/>
        </w:rPr>
        <w:lastRenderedPageBreak/>
        <w:t>are legal requirements, not best practice. Compliance you cannot evidence is treated as absent.</w:t>
      </w:r>
    </w:p>
    <w:p w14:paraId="3527D8C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And one that will not bite but matters anyway: the registers and checklists are how three people who are also friends avoid the conversations that end businesses. A conflict recorded is a conflict that never becomes an accusation. A Material Decision minuted is a decision nobody misremembers. A vesting record circulated annually is why nobody is surprised at the end.</w:t>
      </w:r>
    </w:p>
    <w:p w14:paraId="7682A978" w14:textId="77777777" w:rsidR="009E2C69" w:rsidRPr="009E2C69" w:rsidRDefault="009E2C69" w:rsidP="009E2C69">
      <w:pPr>
        <w:pStyle w:val="NormalWeb"/>
      </w:pPr>
      <w:r>
        <w:br/>
      </w:r>
      <w:r w:rsidRPr="009E2C69">
        <w:rPr>
          <w:b/>
          <w:bCs/>
        </w:rPr>
        <w:t>CONFIDENTIAL</w:t>
      </w:r>
    </w:p>
    <w:p w14:paraId="0DAC46E0"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SCOPE SCHEDULES LIBRARY</w:t>
      </w:r>
    </w:p>
    <w:p w14:paraId="2527B09B"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MARHANA &amp; CO CONSULTING LTD</w:t>
      </w:r>
    </w:p>
    <w:p w14:paraId="7EAEEA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Standard scope-of-services wording for each service line, for insertion at paragraph B.1.1 of the Terms of Engagement and at paragraph 1 of the short-form engagement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9E2C69" w:rsidRPr="009E2C69" w14:paraId="601CAB79" w14:textId="77777777">
        <w:trPr>
          <w:tblHeader/>
          <w:tblCellSpacing w:w="15" w:type="dxa"/>
        </w:trPr>
        <w:tc>
          <w:tcPr>
            <w:tcW w:w="0" w:type="auto"/>
            <w:vAlign w:val="center"/>
            <w:hideMark/>
          </w:tcPr>
          <w:p w14:paraId="17708352" w14:textId="77777777" w:rsidR="009E2C69" w:rsidRPr="009E2C69" w:rsidRDefault="009E2C69" w:rsidP="009E2C69">
            <w:pPr>
              <w:rPr>
                <w:rFonts w:ascii="Times New Roman" w:eastAsia="Times New Roman" w:hAnsi="Times New Roman" w:cs="Times New Roman"/>
                <w:kern w:val="0"/>
                <w:lang w:eastAsia="en-GB"/>
                <w14:ligatures w14:val="none"/>
              </w:rPr>
            </w:pPr>
          </w:p>
        </w:tc>
        <w:tc>
          <w:tcPr>
            <w:tcW w:w="0" w:type="auto"/>
            <w:vAlign w:val="center"/>
            <w:hideMark/>
          </w:tcPr>
          <w:p w14:paraId="526AA3D9" w14:textId="77777777" w:rsidR="009E2C69" w:rsidRPr="009E2C69" w:rsidRDefault="009E2C69" w:rsidP="009E2C69">
            <w:pPr>
              <w:jc w:val="center"/>
              <w:rPr>
                <w:rFonts w:ascii="Times New Roman" w:eastAsia="Times New Roman" w:hAnsi="Times New Roman" w:cs="Times New Roman"/>
                <w:kern w:val="0"/>
                <w:sz w:val="20"/>
                <w:szCs w:val="20"/>
                <w:lang w:eastAsia="en-GB"/>
                <w14:ligatures w14:val="none"/>
              </w:rPr>
            </w:pPr>
          </w:p>
        </w:tc>
      </w:tr>
      <w:tr w:rsidR="009E2C69" w:rsidRPr="009E2C69" w14:paraId="382DB2F7" w14:textId="77777777">
        <w:trPr>
          <w:tblCellSpacing w:w="15" w:type="dxa"/>
        </w:trPr>
        <w:tc>
          <w:tcPr>
            <w:tcW w:w="0" w:type="auto"/>
            <w:vAlign w:val="center"/>
            <w:hideMark/>
          </w:tcPr>
          <w:p w14:paraId="46EB33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DOCUMENT OWNER</w:t>
            </w:r>
          </w:p>
        </w:tc>
        <w:tc>
          <w:tcPr>
            <w:tcW w:w="0" w:type="auto"/>
            <w:vAlign w:val="center"/>
            <w:hideMark/>
          </w:tcPr>
          <w:p w14:paraId="48246B1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 OWNER NAME], [DOCUMENT OWNER ROLE]</w:t>
            </w:r>
          </w:p>
        </w:tc>
      </w:tr>
      <w:tr w:rsidR="009E2C69" w:rsidRPr="009E2C69" w14:paraId="032BD2FE" w14:textId="77777777">
        <w:trPr>
          <w:tblCellSpacing w:w="15" w:type="dxa"/>
        </w:trPr>
        <w:tc>
          <w:tcPr>
            <w:tcW w:w="0" w:type="auto"/>
            <w:vAlign w:val="center"/>
            <w:hideMark/>
          </w:tcPr>
          <w:p w14:paraId="4C3784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VERSION</w:t>
            </w:r>
          </w:p>
        </w:tc>
        <w:tc>
          <w:tcPr>
            <w:tcW w:w="0" w:type="auto"/>
            <w:vAlign w:val="center"/>
            <w:hideMark/>
          </w:tcPr>
          <w:p w14:paraId="08E2E30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[VERSION NUMBER]</w:t>
            </w:r>
          </w:p>
        </w:tc>
      </w:tr>
      <w:tr w:rsidR="009E2C69" w:rsidRPr="009E2C69" w14:paraId="532F0F02" w14:textId="77777777">
        <w:trPr>
          <w:tblCellSpacing w:w="15" w:type="dxa"/>
        </w:trPr>
        <w:tc>
          <w:tcPr>
            <w:tcW w:w="0" w:type="auto"/>
            <w:vAlign w:val="center"/>
            <w:hideMark/>
          </w:tcPr>
          <w:p w14:paraId="434A19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STATUS</w:t>
            </w:r>
          </w:p>
        </w:tc>
        <w:tc>
          <w:tcPr>
            <w:tcW w:w="0" w:type="auto"/>
            <w:vAlign w:val="center"/>
            <w:hideMark/>
          </w:tcPr>
          <w:p w14:paraId="0CB33CC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4F5F9778"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6BFFA3BE">
          <v:rect id="_x0000_i1040" alt="" style="width:451.3pt;height:.05pt;mso-width-percent:0;mso-height-percent:0;mso-width-percent:0;mso-height-percent:0" o:hralign="center" o:hrstd="t" o:hr="t" fillcolor="#a0a0a0" stroked="f"/>
        </w:pict>
      </w:r>
    </w:p>
    <w:p w14:paraId="2142A4F9"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HOW TO USE THIS LIBRARY</w:t>
      </w:r>
    </w:p>
    <w:p w14:paraId="14BF97C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Paragraph B.1.1 of the Terms of Engagement is a list of </w:t>
      </w:r>
      <w:r w:rsidRPr="009E2C69">
        <w:rPr>
          <w:rFonts w:ascii="Courier New" w:eastAsia="Times New Roman" w:hAnsi="Courier New" w:cs="Courier New"/>
          <w:kern w:val="0"/>
          <w:sz w:val="20"/>
          <w:szCs w:val="20"/>
          <w:lang w:eastAsia="en-GB"/>
          <w14:ligatures w14:val="none"/>
        </w:rPr>
        <w:t>[SERVICE ITEM]</w:t>
      </w:r>
      <w:r w:rsidRPr="009E2C69">
        <w:rPr>
          <w:rFonts w:ascii="Times New Roman" w:eastAsia="Times New Roman" w:hAnsi="Times New Roman" w:cs="Times New Roman"/>
          <w:kern w:val="0"/>
          <w:lang w:eastAsia="en-GB"/>
          <w14:ligatures w14:val="none"/>
        </w:rPr>
        <w:t xml:space="preserve"> placeholders. Every engagement requires that scope to be written. Writing it freehand each time produces inconsistency, and inconsistent scope is where fee disputes start — "I thought that was included" is the single most common argument in professional services, and it is won or lost by what was written before the work began.</w:t>
      </w:r>
    </w:p>
    <w:p w14:paraId="152EBDC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For each service line below you will find five blocks. Copy them across:</w:t>
      </w:r>
    </w:p>
    <w:p w14:paraId="3D3276BF"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r w:rsidRPr="009E2C69">
        <w:rPr>
          <w:rFonts w:ascii="Times New Roman" w:eastAsia="Times New Roman" w:hAnsi="Times New Roman" w:cs="Times New Roman"/>
          <w:kern w:val="0"/>
          <w:lang w:eastAsia="en-GB"/>
          <w14:ligatures w14:val="none"/>
        </w:rPr>
        <w:t xml:space="preserve"> → paragraph B.1.1 of the Terms, or paragraph 1 of the short-form letter</w:t>
      </w:r>
    </w:p>
    <w:p w14:paraId="54024ADD"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 the engagement particulars</w:t>
      </w:r>
    </w:p>
    <w:p w14:paraId="76FED314"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 paragraph B.1.1.5 and the Information Deadline at A.1.13</w:t>
      </w:r>
    </w:p>
    <w:p w14:paraId="28F49B75"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r w:rsidRPr="009E2C69">
        <w:rPr>
          <w:rFonts w:ascii="Times New Roman" w:eastAsia="Times New Roman" w:hAnsi="Times New Roman" w:cs="Times New Roman"/>
          <w:kern w:val="0"/>
          <w:lang w:eastAsia="en-GB"/>
          <w14:ligatures w14:val="none"/>
        </w:rPr>
        <w:t xml:space="preserve"> → paragraph B.2.1.9, in addition to the standard exclusions at B.2.1.1 to B.2.1.8, which apply to every engagement without exception</w:t>
      </w:r>
    </w:p>
    <w:p w14:paraId="4AFC8E47"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 include these in the engagement particulars; each one is a variation trigger under B.4.2 if it turns out to be wrong</w:t>
      </w:r>
    </w:p>
    <w:p w14:paraId="55EB0B2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Two rules. First, never delete the standard exclusions at B.2.1.1 to B.2.1.8 for any engagement — they are the basis on which the fee is calculated and paragraph B.2.2 says so. </w:t>
      </w:r>
      <w:r w:rsidRPr="009E2C69">
        <w:rPr>
          <w:rFonts w:ascii="Times New Roman" w:eastAsia="Times New Roman" w:hAnsi="Times New Roman" w:cs="Times New Roman"/>
          <w:kern w:val="0"/>
          <w:lang w:eastAsia="en-GB"/>
          <w14:ligatures w14:val="none"/>
        </w:rPr>
        <w:lastRenderedPageBreak/>
        <w:t>Second, if a client asks for something not in the scope wording below, it is a variation under B.4.1 and needs quoting before it is done.</w:t>
      </w:r>
    </w:p>
    <w:p w14:paraId="35182E23"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27A6FB11">
          <v:rect id="_x0000_i1039" style="width:0;height:1.5pt" o:hralign="center" o:hrstd="t" o:hr="t" fillcolor="#a0a0a0" stroked="f"/>
        </w:pict>
      </w:r>
    </w:p>
    <w:p w14:paraId="7BAED36C"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 BID FIT SCORE</w:t>
      </w:r>
    </w:p>
    <w:p w14:paraId="7CF1C6D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£150–£350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w:t>
      </w:r>
    </w:p>
    <w:p w14:paraId="6266735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0F637181"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published procurement documentation for the Opportunity, being the contract notice, specification, evaluation criteria and weightings, and any published clarification responses available at the date of instruction.</w:t>
      </w:r>
    </w:p>
    <w:p w14:paraId="75060B5F"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Client's stated capability, accreditation status and track record against the published qualification requirements and evaluation criteria.</w:t>
      </w:r>
    </w:p>
    <w:p w14:paraId="03EF2D7B"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financial thresholds, contract value, duration and stated risk profile against the Client's stated financial standing.</w:t>
      </w:r>
    </w:p>
    <w:p w14:paraId="09B085CE"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likely competitive field by reference to publicly available award history for comparable contracts, where available.</w:t>
      </w:r>
    </w:p>
    <w:p w14:paraId="5409D334"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written scorecard in the Consultant's standard format, comprising a numerical fit score, a go or no-go recommendation, the strengths the Client should emphasise, and the material gaps requiring attention before submission.</w:t>
      </w:r>
    </w:p>
    <w:p w14:paraId="17F8418B"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scorecard, answered in writing.</w:t>
      </w:r>
    </w:p>
    <w:p w14:paraId="29F7283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scorecard, [●] pages, in PDF.</w:t>
      </w:r>
    </w:p>
    <w:p w14:paraId="09CDD09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Capability statement or company overview; list of accreditations held with expiry dates; insurance levels held; three most relevant past contracts with values and client names; latest filed accounts or a statement of turnover; the opportunity reference or portal link.</w:t>
      </w:r>
    </w:p>
    <w:p w14:paraId="37C732A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6FEFF52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does not verify any accreditation, insurance level, financial figure or past performance claim supplied by the Client. The fit score is an opinion formed upon the information available at the date of assessment and upon the documentation published at that date. A go recommendation is not an assurance of success and a no-go recommendation is not an assurance of failure. The Consultant does not monitor the Opportunity after delivery of the scorecard and is not responsible for notifying the Client of any subsequent clarification, amendment or extension issued by the Contracting Authority.</w:t>
      </w:r>
    </w:p>
    <w:p w14:paraId="639DD9D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procurement documentation is publicly accessible without portal registration, or the Client supplies it. The Opportunity is a single lot; multiple lots are scored separately and charged separately.</w:t>
      </w:r>
    </w:p>
    <w:p w14:paraId="39BB4880"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5C130F80">
          <v:rect id="_x0000_i1038" style="width:0;height:1.5pt" o:hralign="center" o:hrstd="t" o:hr="t" fillcolor="#a0a0a0" stroked="f"/>
        </w:pict>
      </w:r>
    </w:p>
    <w:p w14:paraId="60D93B3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2. BID READINESS ASSESSMENT</w:t>
      </w:r>
    </w:p>
    <w:p w14:paraId="08C1188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£250–£500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 unless personnel records are supplied</w:t>
      </w:r>
    </w:p>
    <w:p w14:paraId="72D6B65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321D92B4"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Client's accreditations, certifications, policies, insurances and financial standing against the qualification requirements typically applied in [SECTOR] public procurement.</w:t>
      </w:r>
    </w:p>
    <w:p w14:paraId="3391C34E"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Client's existing policy suite against the policy documents commonly required at selection stage, identifying which exist, which are out of date, and which are absent.</w:t>
      </w:r>
    </w:p>
    <w:p w14:paraId="79FE5ED9"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gaps which would prevent or prejudice qualification, ranked by the likelihood of their being required.</w:t>
      </w:r>
    </w:p>
    <w:p w14:paraId="2E89B108"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readiness report setting out the position, the gaps, the remedial actions required, and an indicative order in which they should be addressed.</w:t>
      </w:r>
    </w:p>
    <w:p w14:paraId="73593FAB"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report, answered in writing.</w:t>
      </w:r>
    </w:p>
    <w:p w14:paraId="41EC731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readiness report, [●] pages, with a gap register in tabular form.</w:t>
      </w:r>
    </w:p>
    <w:p w14:paraId="270714E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current policies; all accreditation certificates with expiry dates; insurance schedules; latest filed accounts; organisational structure; details of quality, environmental and health and safety management arrangements.</w:t>
      </w:r>
    </w:p>
    <w:p w14:paraId="55B92DC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C1DA83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reviews the documents supplied and does not audit, inspect or verify whether the arrangements they describe are in fact operated. The assessment addresses typical requirements in the stated sector and is not a determination that the Client will qualify for any particular procurement. The Consultant does not draft any policy, obtain any accreditation or effect any remedial action identified, each of which is a separate service quoted separately.</w:t>
      </w:r>
    </w:p>
    <w:p w14:paraId="58CB5B6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One sector. Assessment against typical rather than named-procurement requirements; assessment against a specific published procurement is a Bid Fit Score and is charged separately.</w:t>
      </w:r>
    </w:p>
    <w:p w14:paraId="0C7DC626"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A915589">
          <v:rect id="_x0000_i1037" style="width:0;height:1.5pt" o:hralign="center" o:hrstd="t" o:hr="t" fillcolor="#a0a0a0" stroked="f"/>
        </w:pict>
      </w:r>
    </w:p>
    <w:p w14:paraId="502769D5"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3. POST-TENDER DEBRIEF ANALYSIS</w:t>
      </w:r>
    </w:p>
    <w:p w14:paraId="1313FBE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£200–£450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w:t>
      </w:r>
    </w:p>
    <w:p w14:paraId="00B3998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0514690B"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Review of the assessment summary or debrief provided by the Contracting Authority, together with the Client's submitted response and the published evaluation criteria and weightings.</w:t>
      </w:r>
    </w:p>
    <w:p w14:paraId="7B0E7E8B"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Analysis of the score awarded against each criterion and sub-criterion, identifying where marks were lost and, so far as the assessment summary permits, why.</w:t>
      </w:r>
    </w:p>
    <w:p w14:paraId="7619A500"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content or capability which would have been required to score more highly against each criterion where marks were lost.</w:t>
      </w:r>
    </w:p>
    <w:p w14:paraId="50DBD4E1"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improvement plan setting out the findings, ranked by the number of marks recoverable, together with the actions required before the next comparable submission.</w:t>
      </w:r>
    </w:p>
    <w:p w14:paraId="1C829A86"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plan, answered in writing.</w:t>
      </w:r>
    </w:p>
    <w:p w14:paraId="596ED7E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improvement plan, [●] pages, with a criterion-by-criterion analysis table.</w:t>
      </w:r>
    </w:p>
    <w:p w14:paraId="0C5D8ED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assessment summary or debrief; the submitted response in the form submitted; the published evaluation criteria and weightings; any correspondence with the Contracting Authority about the outcome.</w:t>
      </w:r>
    </w:p>
    <w:p w14:paraId="7C3E74D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3167EE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does not advise upon whether any ground of challenge exists, upon the merits or conduct of any procurement challenge, upon any standstill period, or upon any application to the Contracting Authority for further information. Those are matters of legal advice upon which the Client must take independent advice, and the Client is reminded that the period within which a procurement challenge may be brought is short. The Consultant does not correspond with the Contracting Authority on the Client's behalf. The analysis is limited to the information contained in the assessment summary supplied; where the summary is brief or uninformative, the analysis will be correspondingly limited and no reduction in the fee arises.</w:t>
      </w:r>
    </w:p>
    <w:p w14:paraId="110E5EE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assessment summary is provided in full. One submission, one lot.</w:t>
      </w:r>
    </w:p>
    <w:p w14:paraId="6F5C4DC3"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462D26C8">
          <v:rect id="_x0000_i1036" style="width:0;height:1.5pt" o:hralign="center" o:hrstd="t" o:hr="t" fillcolor="#a0a0a0" stroked="f"/>
        </w:pict>
      </w:r>
    </w:p>
    <w:p w14:paraId="4320345D"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4. BID REVIEW AND REWRITE</w:t>
      </w:r>
    </w:p>
    <w:p w14:paraId="4585BDA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£250–£600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issue the full Terms and DPA</w:t>
      </w:r>
    </w:p>
    <w:p w14:paraId="36C9C91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6358419"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Critical review of the Client's existing draft response against the published evaluation criteria, weightings, response requirements, word or character limits and formatting requirements.</w:t>
      </w:r>
    </w:p>
    <w:p w14:paraId="7E19AB1D"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Compliance check identifying any question or sub-question not answered, any requirement not addressed, and any breach of a stated limit or format.</w:t>
      </w:r>
    </w:p>
    <w:p w14:paraId="39C6774A"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Rewriting and strengthening of the draft to address the evaluation criteria, improve the evidencing of claims made, and comply with the stated requirements.</w:t>
      </w:r>
    </w:p>
    <w:p w14:paraId="0DDB2030"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revised draft in editable format, together with a summary of the material changes made and of any evidence gap the Client must close.</w:t>
      </w:r>
    </w:p>
    <w:p w14:paraId="2A6E7DCC"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6BDCC2F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Revised draft in [FORMAT], plus a change summary.</w:t>
      </w:r>
    </w:p>
    <w:p w14:paraId="0F305EF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existing draft in editable format; the full procurement documentation including evaluation criteria and response requirements; all evidence relied upon in the draft; any clarification responses issued by the Contracting Authority.</w:t>
      </w:r>
    </w:p>
    <w:p w14:paraId="4DB8E0E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48990BA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rewrites and strengthens the content supplied. It does not originate new factual content, new evidence or new capability claims, and any assertion in the revised draft originates with the Client. Where the existing draft is materially incomplete, such that rewriting amounts in substance to authorship, the Consultant shall notify the Client and the engagement shall be requoted as Tender and PQQ Writing before further work is undertaken. Rewriting does not extend to any section not identified in the engagement particulars.</w:t>
      </w:r>
    </w:p>
    <w:p w14:paraId="3262058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draft addresses each question in substance. Word limits are as published. The number of questions is [●] and materially more will trigger a variation under B.4.2.</w:t>
      </w:r>
    </w:p>
    <w:p w14:paraId="757AD46C"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2D742CC">
          <v:rect id="_x0000_i1035" style="width:0;height:1.5pt" o:hralign="center" o:hrstd="t" o:hr="t" fillcolor="#a0a0a0" stroked="f"/>
        </w:pict>
      </w:r>
    </w:p>
    <w:p w14:paraId="04341EE9"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5. TENDER AND PQQ WRITING</w:t>
      </w:r>
    </w:p>
    <w:p w14:paraId="5E9284D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£500–£2,000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360029A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3F4A4F1F"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full procurement documentation and preparation of a compliance matrix mapping every question, sub-question, weighting, word limit and evidence requirement.</w:t>
      </w:r>
    </w:p>
    <w:p w14:paraId="20CA2A3C"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information-gathering session with the Client of up to [DURATION], to establish the factual content, evidence and capability claims to be relied upon.</w:t>
      </w:r>
    </w:p>
    <w:p w14:paraId="06C30EB3"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to each question identified in the compliance matrix, drafted against the published evaluation criteria and within the stated limits.</w:t>
      </w:r>
    </w:p>
    <w:p w14:paraId="0417A6C6"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Mapping of the evidence supplied by the Client to each criterion, and identification in writing of any evidence gap the Client must close before submission.</w:t>
      </w:r>
    </w:p>
    <w:p w14:paraId="1A65A0D2"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complete draft in the format required by the Contracting Authority, not later than the internal delivery deadline stated in the engagement particulars.</w:t>
      </w:r>
    </w:p>
    <w:p w14:paraId="47D7562E"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2B11FDE6"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final compliance check of the approved response against the compliance matrix before release to the Client for submission.</w:t>
      </w:r>
    </w:p>
    <w:p w14:paraId="6C463C9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Deliverable:</w:t>
      </w:r>
      <w:r w:rsidRPr="009E2C69">
        <w:rPr>
          <w:rFonts w:ascii="Times New Roman" w:eastAsia="Times New Roman" w:hAnsi="Times New Roman" w:cs="Times New Roman"/>
          <w:kern w:val="0"/>
          <w:lang w:eastAsia="en-GB"/>
          <w14:ligatures w14:val="none"/>
        </w:rPr>
        <w:t xml:space="preserve"> Complete draft response in [FORMAT], plus the compliance matrix and an evidence gap register.</w:t>
      </w:r>
    </w:p>
    <w:p w14:paraId="5D8E629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procurement documentation and all clarification responses; policies, accreditations, insurances and certifications to be relied upon; personnel details and CVs where required; case studies and referee details; financial information required by the response; pricing, which the Client alone determines; approval of the final response in writing.</w:t>
      </w:r>
    </w:p>
    <w:p w14:paraId="3A69F61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E123D5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records the Client's statements as to its capability, capacity, resources, accreditations and past performance and does not verify any of them. The Consultant does not determine, recommend or approve the Client's price or commercial terms and expresses no opinion upon them. The Consultant does not complete any portal field, hold portal credentials or submit the response. The scope is limited to the questions identified in the compliance matrix at the date of instruction; where the Contracting Authority subsequently issues additional questions, amends the specification or extends the deadline, paragraph B.4.2 applies. Method statements requiring specification-level technical, clinical or engineering content are drafted from content supplied by the Client and are not originated by the Consultant.</w:t>
      </w:r>
    </w:p>
    <w:p w14:paraId="6CC76D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of questions [●] and aggregate word count [●]. Single lot. Client responds to requests for information within [●] working days. Deadline as published at the date of instruction.</w:t>
      </w:r>
    </w:p>
    <w:p w14:paraId="39CA1500"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105226BD">
          <v:rect id="_x0000_i1034" style="width:0;height:1.5pt" o:hralign="center" o:hrstd="t" o:hr="t" fillcolor="#a0a0a0" stroked="f"/>
        </w:pict>
      </w:r>
    </w:p>
    <w:p w14:paraId="189467F6"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6. SOCIAL VALUE STATEMENTS</w:t>
      </w:r>
    </w:p>
    <w:p w14:paraId="1064FC5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£300–£900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Possibly</w:t>
      </w:r>
    </w:p>
    <w:p w14:paraId="0D327E3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6521A6B3"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social value questions, the policy themes and outcomes applied by the Contracting Authority, and the stated weightings and evaluation methodology.</w:t>
      </w:r>
    </w:p>
    <w:p w14:paraId="5705183D"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session with the Client of up to [DURATION] to establish the social value commitments the Client is able and willing to make and to deliver.</w:t>
      </w:r>
    </w:p>
    <w:p w14:paraId="797FB59F"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social value response, mapped to the themes, outcomes and measures applied by the Contracting Authority and to the local priorities identified in the procurement documentation.</w:t>
      </w:r>
    </w:p>
    <w:p w14:paraId="33679052"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Presentation of each commitment with a stated measure, a target and a proposed method of reporting.</w:t>
      </w:r>
    </w:p>
    <w:p w14:paraId="2718617F"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6D61187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Social value response in [FORMAT], plus a commitments register listing each commitment, its measure and its target.</w:t>
      </w:r>
    </w:p>
    <w:p w14:paraId="40F419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Client must supply:</w:t>
      </w:r>
      <w:r w:rsidRPr="009E2C69">
        <w:rPr>
          <w:rFonts w:ascii="Times New Roman" w:eastAsia="Times New Roman" w:hAnsi="Times New Roman" w:cs="Times New Roman"/>
          <w:kern w:val="0"/>
          <w:lang w:eastAsia="en-GB"/>
          <w14:ligatures w14:val="none"/>
        </w:rPr>
        <w:t xml:space="preserve"> Existing social value activity and evidence; local employment, training and supply chain arrangements; charitable and community activity; environmental measures; confirmation of which commitments the Client is willing and able to deliver.</w:t>
      </w:r>
    </w:p>
    <w:p w14:paraId="6F8C74B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7A67C4B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Client is reminded that social value commitments made at bid stage become contractual obligations on award and are reported against for the life of the contract.</w:t>
      </w:r>
      <w:r w:rsidRPr="009E2C69">
        <w:rPr>
          <w:rFonts w:ascii="Times New Roman" w:eastAsia="Times New Roman" w:hAnsi="Times New Roman" w:cs="Times New Roman"/>
          <w:kern w:val="0"/>
          <w:lang w:eastAsia="en-GB"/>
          <w14:ligatures w14:val="none"/>
        </w:rPr>
        <w:t xml:space="preserve"> The Consultant drafts the commitments the Client instructs it to make. The Consultant does not assess, and gives no opinion upon, whether any commitment is deliverable, affordable or achievable, and the Client alone is responsible for satisfying itself of that before approving the response. The Consultant does not calculate social value in monetary terms, does not apply any proxy valuation framework, and does not calculate or verify greenhouse gas emissions or carbon figures.</w:t>
      </w:r>
    </w:p>
    <w:p w14:paraId="79F2679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Contracting Authority's themes and measures are published. The Client has decided what it is willing to commit to before the session at item 2.</w:t>
      </w:r>
    </w:p>
    <w:p w14:paraId="637CCDDE"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20869187">
          <v:rect id="_x0000_i1033" style="width:0;height:1.5pt" o:hralign="center" o:hrstd="t" o:hr="t" fillcolor="#a0a0a0" stroked="f"/>
        </w:pict>
      </w:r>
    </w:p>
    <w:p w14:paraId="45F29889"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7. FINANCIAL AND COSTED BUSINESS CASE</w:t>
      </w:r>
    </w:p>
    <w:p w14:paraId="06D2A64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£300–£800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Unlikely</w:t>
      </w:r>
    </w:p>
    <w:p w14:paraId="5A41917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0773BE2"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financial, costing and commercial questions within the procurement documentation and of the pricing schedule or model issued by the Contracting Authority.</w:t>
      </w:r>
    </w:p>
    <w:p w14:paraId="19410DEB"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narrative financial and costing sections of the response, presenting the figures supplied by the Client against the criteria applied by the Contracting Authority.</w:t>
      </w:r>
    </w:p>
    <w:p w14:paraId="6FBFA86A"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Structuring of the costed business case narrative, including the presentation of cost drivers, assumptions, value for money and, where required, social value cost attribution.</w:t>
      </w:r>
    </w:p>
    <w:p w14:paraId="26ACE59E"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Independent internal review of the completed financial sections against the published requirements by the Consultant's Finance and Sector Lead.</w:t>
      </w:r>
    </w:p>
    <w:p w14:paraId="51F1A2A8"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3DF9F31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Financial and costing narrative sections in [FORMAT].</w:t>
      </w:r>
    </w:p>
    <w:p w14:paraId="38EF1D4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figures, rates, costs, margins and pricing; the completed pricing schedule; the assumptions underlying each figure; latest accounts; confirmation in writing that the figures are accurate and deliverable.</w:t>
      </w:r>
    </w:p>
    <w:p w14:paraId="4842426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0F9F93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The Consultant does not calculate, derive, model, check or verify any figure.</w:t>
      </w:r>
      <w:r w:rsidRPr="009E2C69">
        <w:rPr>
          <w:rFonts w:ascii="Times New Roman" w:eastAsia="Times New Roman" w:hAnsi="Times New Roman" w:cs="Times New Roman"/>
          <w:kern w:val="0"/>
          <w:lang w:eastAsia="en-GB"/>
          <w14:ligatures w14:val="none"/>
        </w:rPr>
        <w:t xml:space="preserve"> All figures originate with the Client, are recorded as supplied, and are presented without adjustment. The Consultant does not provide accountancy, audit, tax or investment advice, does not prepare or certify any financial statement, and does not opine upon the Client's financial standing. The Consultant does not determine or recommend the price tendered, does not advise upon whether any price is competitive, sustainable or abnormally low, and expresses no opinion upon margin, cost recovery or profitability. The Client is responsible for the arithmetic accuracy of every figure and every pricing schedule submitted.</w:t>
      </w:r>
    </w:p>
    <w:p w14:paraId="00DB0C6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Client's figures are final at the Information Deadline. Recalculation following a change of figures is a variation under B.4.1.</w:t>
      </w:r>
    </w:p>
    <w:p w14:paraId="6E7869B7"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FDEEA18">
          <v:rect id="_x0000_i1032" style="width:0;height:1.5pt" o:hralign="center" o:hrstd="t" o:hr="t" fillcolor="#a0a0a0" stroked="f"/>
        </w:pict>
      </w:r>
    </w:p>
    <w:p w14:paraId="1C7C938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8. ACCREDITATION SUPPORT</w:t>
      </w:r>
    </w:p>
    <w:p w14:paraId="7235A08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£300–£700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personnel and training records</w:t>
      </w:r>
    </w:p>
    <w:p w14:paraId="0E5D25A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6795440"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requirements of the accreditation scheme concerned, being [CHAS / CONSTRUCTIONLINE / SAFECONTRACTOR / SMAS / OTHER], against the Client's existing documentation.</w:t>
      </w:r>
    </w:p>
    <w:p w14:paraId="17A1EF06"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and documentation required and of what the Client holds, what is out of date and what is absent.</w:t>
      </w:r>
    </w:p>
    <w:p w14:paraId="3A5B6F81"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or restructuring of the narrative documentation required by the scheme, drafted from the arrangements and evidence supplied by the Client.</w:t>
      </w:r>
    </w:p>
    <w:p w14:paraId="60D175C9"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Compilation of the evidence supplied into the structure and order required by the scheme.</w:t>
      </w:r>
    </w:p>
    <w:p w14:paraId="5EA09CA0"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the completed evidence pack for the Client to submit.</w:t>
      </w:r>
    </w:p>
    <w:p w14:paraId="52A58296"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assessor feedback, where feedback is received within [PERIOD] of submission.</w:t>
      </w:r>
    </w:p>
    <w:p w14:paraId="328F93E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Completed evidence pack in the format required by the scheme.</w:t>
      </w:r>
    </w:p>
    <w:p w14:paraId="4928DAF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existing policies, procedures and records; personnel qualifications and training records; insurance schedules; accident and incident records; risk assessments and method statements; equipment and maintenance records; scheme login where the Client requires the Consultant to view scheme guidance.</w:t>
      </w:r>
    </w:p>
    <w:p w14:paraId="3F65AA8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A4B9A4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does not submit the application, hold scheme credentials or correspond with the scheme assessor. The Consultant does not audit, inspect or verify whether the arrangements described in the documentation are in fact operated, and does not certify compliance with any standard. </w:t>
      </w:r>
      <w:r w:rsidRPr="009E2C69">
        <w:rPr>
          <w:rFonts w:ascii="Times New Roman" w:eastAsia="Times New Roman" w:hAnsi="Times New Roman" w:cs="Times New Roman"/>
          <w:b/>
          <w:bCs/>
          <w:kern w:val="0"/>
          <w:lang w:eastAsia="en-GB"/>
          <w14:ligatures w14:val="none"/>
        </w:rPr>
        <w:t>The Consultant gives no warranty that accreditation will be granted</w:t>
      </w:r>
      <w:r w:rsidRPr="009E2C69">
        <w:rPr>
          <w:rFonts w:ascii="Times New Roman" w:eastAsia="Times New Roman" w:hAnsi="Times New Roman" w:cs="Times New Roman"/>
          <w:kern w:val="0"/>
          <w:lang w:eastAsia="en-GB"/>
          <w14:ligatures w14:val="none"/>
        </w:rPr>
        <w:t xml:space="preserve">, that being a determination for the scheme assessor. The Consultant does not create any underlying arrangement, record or system which the Client does not already </w:t>
      </w:r>
      <w:r w:rsidRPr="009E2C69">
        <w:rPr>
          <w:rFonts w:ascii="Times New Roman" w:eastAsia="Times New Roman" w:hAnsi="Times New Roman" w:cs="Times New Roman"/>
          <w:kern w:val="0"/>
          <w:lang w:eastAsia="en-GB"/>
          <w14:ligatures w14:val="none"/>
        </w:rPr>
        <w:lastRenderedPageBreak/>
        <w:t>operate; where evidence does not exist, it cannot be compiled, and the Client is responsible for putting the arrangement in place. The Consultant does not provide health and safety advice, competent person services under regulation 7 of the Management of Health and Safety at Work Regulations 1999, or advice upon compliance with any statutory duty.</w:t>
      </w:r>
    </w:p>
    <w:p w14:paraId="0169F66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One scheme, one membership level. Resubmission following a failed assessment is a variation unless caused by the Consultant's error.</w:t>
      </w:r>
    </w:p>
    <w:p w14:paraId="591E7CC5"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2CC6B92E">
          <v:rect id="_x0000_i1031" style="width:0;height:1.5pt" o:hralign="center" o:hrstd="t" o:hr="t" fillcolor="#a0a0a0" stroked="f"/>
        </w:pict>
      </w:r>
    </w:p>
    <w:p w14:paraId="01A589F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9. EVIDENCE BANK DEVELOPMENT</w:t>
      </w:r>
    </w:p>
    <w:p w14:paraId="46AB1D2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£800–£2,000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2D8A392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ABEBC19"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Design of a structured library architecture organised against the evaluation criteria and question types recurring in [SECTOR] public procurement.</w:t>
      </w:r>
    </w:p>
    <w:p w14:paraId="7242D063"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Audit of the Client's existing policies, accreditations, case studies, personnel records, insurance documentation and social value evidence, and mapping of each to the criteria it supports.</w:t>
      </w:r>
    </w:p>
    <w:p w14:paraId="084166D8"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gaps which recur across common evaluation criteria and which the Client should close.</w:t>
      </w:r>
    </w:p>
    <w:p w14:paraId="50133021"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Compilation of the Client's existing material into the library structure, indexed and mapped to the criteria.</w:t>
      </w:r>
    </w:p>
    <w:p w14:paraId="0B2A3CA8"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[NUMBER] standard reusable responses to recurring question types, drafted from the Client's material.</w:t>
      </w:r>
    </w:p>
    <w:p w14:paraId="6E65A443"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maintenance protocol setting out how the library is kept current, including accreditation expiry monitoring and case study refresh.</w:t>
      </w:r>
    </w:p>
    <w:p w14:paraId="4C5B9720"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Handover session of up to [DURATION].</w:t>
      </w:r>
    </w:p>
    <w:p w14:paraId="70C178F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Structured evidence library in [FORMAT], criteria mapping index, gap register, standard response set, maintenance protocol.</w:t>
      </w:r>
    </w:p>
    <w:p w14:paraId="494AB3D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policies, certificates, insurance schedules, case studies, personnel records, CVs, training records, social value evidence and past submissions; a nominated individual to maintain the library after handover.</w:t>
      </w:r>
    </w:p>
    <w:p w14:paraId="51E1E83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629761A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Intellectual property is split. The content of the library remains the Client's; the structure, taxonomy, indexing methodology, criteria mapping and templates by which it is organised are Company Materials, remain the Consultant's, and are licensed to the Client for its own use only</w:t>
      </w:r>
      <w:r w:rsidRPr="009E2C69">
        <w:rPr>
          <w:rFonts w:ascii="Times New Roman" w:eastAsia="Times New Roman" w:hAnsi="Times New Roman" w:cs="Times New Roman"/>
          <w:kern w:val="0"/>
          <w:lang w:eastAsia="en-GB"/>
          <w14:ligatures w14:val="none"/>
        </w:rPr>
        <w:t xml:space="preserve"> in accordance with paragraph H.6 of the Terms of Engagement. The Client may not extract that structure for use with or by any third party, and may not use it to provide bid services to any person. The Consultant does not verify any document placed in the library, does not maintain the library after handover, and does not monitor accreditation </w:t>
      </w:r>
      <w:r w:rsidRPr="009E2C69">
        <w:rPr>
          <w:rFonts w:ascii="Times New Roman" w:eastAsia="Times New Roman" w:hAnsi="Times New Roman" w:cs="Times New Roman"/>
          <w:kern w:val="0"/>
          <w:lang w:eastAsia="en-GB"/>
          <w14:ligatures w14:val="none"/>
        </w:rPr>
        <w:lastRenderedPageBreak/>
        <w:t>expiry unless separately retained to do so. The Consultant does not create any policy or record the Client does not hold.</w:t>
      </w:r>
    </w:p>
    <w:p w14:paraId="6489EFF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Volume of existing material as inspected at the date of quotation. One sector. Library hosted on [PLATFORM] provided by the Client.</w:t>
      </w:r>
    </w:p>
    <w:p w14:paraId="1AC72488"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E245812">
          <v:rect id="_x0000_i1030" style="width:0;height:1.5pt" o:hralign="center" o:hrstd="t" o:hr="t" fillcolor="#a0a0a0" stroked="f"/>
        </w:pict>
      </w:r>
    </w:p>
    <w:p w14:paraId="64D1346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10. FRAMEWORK APPLICATIONS</w:t>
      </w:r>
    </w:p>
    <w:p w14:paraId="48D4E3D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£800–£2,500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2A36337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C61D73D"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framework documentation, lot structure, qualification requirements and evaluation methodology, and preparation of a compliance matrix.</w:t>
      </w:r>
    </w:p>
    <w:p w14:paraId="508B2C08"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Advice as to which lots the Client's stated capability and financial standing appear to address, by reference to the published requirements.</w:t>
      </w:r>
    </w:p>
    <w:p w14:paraId="062505E7"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information-gathering session of up to [DURATION].</w:t>
      </w:r>
    </w:p>
    <w:p w14:paraId="55601DF9"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to each question in the compliance matrix, for the lots identified in the engagement particulars.</w:t>
      </w:r>
    </w:p>
    <w:p w14:paraId="636AB5FE"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Mapping of evidence to each requirement and identification of gaps to be closed.</w:t>
      </w:r>
    </w:p>
    <w:p w14:paraId="0FD4B7A1"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w:t>
      </w:r>
    </w:p>
    <w:p w14:paraId="6E95539B"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Final compliance check before release for submission.</w:t>
      </w:r>
    </w:p>
    <w:p w14:paraId="71B5636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 framework application in [FORMAT], compliance matrix, evidence gap register.</w:t>
      </w:r>
    </w:p>
    <w:p w14:paraId="56B28D0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As for Tender and PQQ Writing, together with details of capacity, geographic coverage and delivery arrangements for each lot applied for.</w:t>
      </w:r>
    </w:p>
    <w:p w14:paraId="1AD92B1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1856301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does not advise upon the commercial merits of framework participation, upon the volume of work likely to result, upon call-off arrangements, or upon the terms of the framework agreement itself, which is a matter of legal advice. </w:t>
      </w:r>
      <w:r w:rsidRPr="009E2C69">
        <w:rPr>
          <w:rFonts w:ascii="Times New Roman" w:eastAsia="Times New Roman" w:hAnsi="Times New Roman" w:cs="Times New Roman"/>
          <w:b/>
          <w:bCs/>
          <w:kern w:val="0"/>
          <w:lang w:eastAsia="en-GB"/>
          <w14:ligatures w14:val="none"/>
        </w:rPr>
        <w:t>A place on a framework does not guarantee any call-off, and the Consultant gives no indication as to the volume or value of work which may follow.</w:t>
      </w:r>
      <w:r w:rsidRPr="009E2C69">
        <w:rPr>
          <w:rFonts w:ascii="Times New Roman" w:eastAsia="Times New Roman" w:hAnsi="Times New Roman" w:cs="Times New Roman"/>
          <w:kern w:val="0"/>
          <w:lang w:eastAsia="en-GB"/>
          <w14:ligatures w14:val="none"/>
        </w:rPr>
        <w:t xml:space="preserve"> Lots not identified in the engagement particulars are outside scope and are quoted separately. The Consultant does not verify whether the Client meets any financial or capacity threshold.</w:t>
      </w:r>
    </w:p>
    <w:p w14:paraId="3D8011C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lots. Questions and word counts as published at the date of instruction.</w:t>
      </w:r>
    </w:p>
    <w:p w14:paraId="75364825"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3A72A107">
          <v:rect id="_x0000_i1029" style="width:0;height:1.5pt" o:hralign="center" o:hrstd="t" o:hr="t" fillcolor="#a0a0a0" stroked="f"/>
        </w:pict>
      </w:r>
    </w:p>
    <w:p w14:paraId="3E7A9945"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11. CONSORTIUM BID COORDINATION</w:t>
      </w:r>
    </w:p>
    <w:p w14:paraId="0056C03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Fee band:</w:t>
      </w:r>
      <w:r w:rsidRPr="009E2C69">
        <w:rPr>
          <w:rFonts w:ascii="Times New Roman" w:eastAsia="Times New Roman" w:hAnsi="Times New Roman" w:cs="Times New Roman"/>
          <w:kern w:val="0"/>
          <w:lang w:eastAsia="en-GB"/>
          <w14:ligatures w14:val="none"/>
        </w:rPr>
        <w:t xml:space="preserve"> £900–£2,500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Use the Consortium Engagement Terms at file 02, not the standard Terms</w:t>
      </w:r>
    </w:p>
    <w:p w14:paraId="1B18B0C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1D42C85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procurement documentation and preparation of a compliance matrix identifying, for each question, which Member's information is required.</w:t>
      </w:r>
    </w:p>
    <w:p w14:paraId="260C981C"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Structuring of the consortium narrative, including the presentation of the structure, the allocation of responsibilities within the delivery model, and the combined capability.</w:t>
      </w:r>
    </w:p>
    <w:p w14:paraId="4C34303B"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Coordination of the collection of evidence from each Member against the compliance matrix, and identification of gaps to the Lead Member.</w:t>
      </w:r>
    </w:p>
    <w:p w14:paraId="092B1AE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integrating the material supplied by each Member into a single consistent submission.</w:t>
      </w:r>
    </w:p>
    <w:p w14:paraId="55B3F71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Maintenance of a consolidated response tracker showing, for each question, the responsible Member and the status.</w:t>
      </w:r>
    </w:p>
    <w:p w14:paraId="741B3220"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Lead Member.</w:t>
      </w:r>
    </w:p>
    <w:p w14:paraId="525EF0BB"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Final compliance check before release to the Lead Member for submission.</w:t>
      </w:r>
    </w:p>
    <w:p w14:paraId="1F46208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 consortium response, compliance matrix, response tracker, gap register.</w:t>
      </w:r>
    </w:p>
    <w:p w14:paraId="605BD3A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Each Member's information by the Information Deadline; the Lead Member's written confirmation that every Member has approved the parts relating to it; confirmation that the Consortium Agreement is executed and in force.</w:t>
      </w:r>
    </w:p>
    <w:p w14:paraId="3DD2C4D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59D667E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acts for the Consortium as a whole and not for any individual Member. </w:t>
      </w:r>
      <w:r w:rsidRPr="009E2C69">
        <w:rPr>
          <w:rFonts w:ascii="Times New Roman" w:eastAsia="Times New Roman" w:hAnsi="Times New Roman" w:cs="Times New Roman"/>
          <w:b/>
          <w:bCs/>
          <w:kern w:val="0"/>
          <w:lang w:eastAsia="en-GB"/>
          <w14:ligatures w14:val="none"/>
        </w:rPr>
        <w:t>The Consultant does not draft, review, advise upon or comment upon the Consortium Agreement or any teaming, subcontracting, profit-sharing, liability-sharing or exit arrangement between the Members</w:t>
      </w:r>
      <w:r w:rsidRPr="009E2C69">
        <w:rPr>
          <w:rFonts w:ascii="Times New Roman" w:eastAsia="Times New Roman" w:hAnsi="Times New Roman" w:cs="Times New Roman"/>
          <w:kern w:val="0"/>
          <w:lang w:eastAsia="en-GB"/>
          <w14:ligatures w14:val="none"/>
        </w:rPr>
        <w:t>, nor upon the appropriate structure of the Consortium, nor upon whether the Consortium or any Member satisfies any qualification, financial or capacity threshold, nor upon the aggregation of any such measure between Members, nor upon any issue arising under competition law. Each Member must take its own independent legal advice on all of those matters. Where a Member withdraws, paragraph D.5 of the Consortium Engagement Terms applies and consequential rework is charged additionally.</w:t>
      </w:r>
    </w:p>
    <w:p w14:paraId="115C4C0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Members. Lead Member appointed and authorised. Consortium Agreement in force at the date of instruction. Each Member responds within [●] working days.</w:t>
      </w:r>
    </w:p>
    <w:p w14:paraId="1CDC825B"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71F3B2D1">
          <v:rect id="_x0000_i1028" style="width:0;height:1.5pt" o:hralign="center" o:hrstd="t" o:hr="t" fillcolor="#a0a0a0" stroked="f"/>
        </w:pict>
      </w:r>
    </w:p>
    <w:p w14:paraId="5281952E"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12. CONTRACT MOBILISATION</w:t>
      </w:r>
    </w:p>
    <w:p w14:paraId="5044E16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£400–£1,200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Possibly</w:t>
      </w:r>
    </w:p>
    <w:p w14:paraId="7D88D2A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Scope wording</w:t>
      </w:r>
    </w:p>
    <w:p w14:paraId="050682DA"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Extraction from the awarded contract of the reporting, evidencing, compliance and social value obligations falling on the Client, into a structured obligations register.</w:t>
      </w:r>
    </w:p>
    <w:p w14:paraId="65D6966C"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frequency, format, recipient and deadline applicable to each reporting obligation.</w:t>
      </w:r>
    </w:p>
    <w:p w14:paraId="74559408"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Design of a reporting and evidencing framework enabling the Client to meet those obligations, including template report formats where required.</w:t>
      </w:r>
    </w:p>
    <w:p w14:paraId="121CFF34"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Preparation of a mobilisation checklist covering the actions required before and at contract commencement.</w:t>
      </w:r>
    </w:p>
    <w:p w14:paraId="7D7730F3"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Handover session of up to [DURATION].</w:t>
      </w:r>
    </w:p>
    <w:p w14:paraId="609DC9E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Obligations register, reporting framework and templates, mobilisation checklist.</w:t>
      </w:r>
    </w:p>
    <w:p w14:paraId="20582EF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executed contract including all schedules; the submitted response and all commitments made within it; details of internal responsibilities for delivery.</w:t>
      </w:r>
    </w:p>
    <w:p w14:paraId="720D7C9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A725B3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Consultant does not advise upon the meaning, effect or enforceability of any contractual term, that being legal advice upon which the Client must take independent advice.</w:t>
      </w:r>
      <w:r w:rsidRPr="009E2C69">
        <w:rPr>
          <w:rFonts w:ascii="Times New Roman" w:eastAsia="Times New Roman" w:hAnsi="Times New Roman" w:cs="Times New Roman"/>
          <w:kern w:val="0"/>
          <w:lang w:eastAsia="en-GB"/>
          <w14:ligatures w14:val="none"/>
        </w:rPr>
        <w:t xml:space="preserve"> The Consultant extracts and organises the obligations apparent on the face of the documents supplied and does not warrant that the register is exhaustive. The Consultant does not perform, operate or monitor any obligation, does not deliver any service under the contract, and does not report to the Contracting Authority on the Client's behalf. The Consultant does not advise upon staffing, TUPE, subcontracting, insurance or any operational matter arising on mobilisation.</w:t>
      </w:r>
    </w:p>
    <w:p w14:paraId="60213DA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Contract executed and supplied in full. One contract. Mobilisation period of [●] weeks.</w:t>
      </w:r>
    </w:p>
    <w:p w14:paraId="7646AA6C"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5F28B09F">
          <v:rect id="_x0000_i1027" style="width:0;height:1.5pt" o:hralign="center" o:hrstd="t" o:hr="t" fillcolor="#a0a0a0" stroked="f"/>
        </w:pict>
      </w:r>
    </w:p>
    <w:p w14:paraId="1004D60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13. SOCIAL VALUE DELIVERY REPORTING</w:t>
      </w:r>
    </w:p>
    <w:p w14:paraId="249316C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£300–£600 per cycle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beneficiary and employee data</w:t>
      </w:r>
    </w:p>
    <w:p w14:paraId="39DD49B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9613276"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Maintenance of the commitments register recording each social value commitment made at bid stage, its measure, its target and its reporting frequency.</w:t>
      </w:r>
    </w:p>
    <w:p w14:paraId="20D9E24A"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Collection from the Client, each reporting cycle, of the evidence of delivery against each commitment.</w:t>
      </w:r>
    </w:p>
    <w:p w14:paraId="61CAE94D"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periodic social value report in the format required by the Contracting Authority, presenting the evidence supplied against each commitment.</w:t>
      </w:r>
    </w:p>
    <w:p w14:paraId="4065268F"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Identification in writing of any commitment for which evidence has not been supplied, or against which delivery appears to be behind target.</w:t>
      </w:r>
    </w:p>
    <w:p w14:paraId="038511E5"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the report to the Client not later than [PERIOD] before the reporting deadline.</w:t>
      </w:r>
    </w:p>
    <w:p w14:paraId="230C3EC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Periodic social value report per cycle, plus an updated commitments register.</w:t>
      </w:r>
    </w:p>
    <w:p w14:paraId="27D1482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Evidence of delivery against each commitment by the date specified each cycle, including employment, training, apprenticeship, spend, volunteering and environmental data as applicable; confirmation of the accuracy of each figure.</w:t>
      </w:r>
    </w:p>
    <w:p w14:paraId="22CA2E0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41539F6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Consultant reports the evidence supplied. It does not deliver, procure, monitor or verify any social value outcome, and does not audit or check any figure or claim.</w:t>
      </w:r>
      <w:r w:rsidRPr="009E2C69">
        <w:rPr>
          <w:rFonts w:ascii="Times New Roman" w:eastAsia="Times New Roman" w:hAnsi="Times New Roman" w:cs="Times New Roman"/>
          <w:kern w:val="0"/>
          <w:lang w:eastAsia="en-GB"/>
          <w14:ligatures w14:val="none"/>
        </w:rPr>
        <w:t xml:space="preserve"> Where evidence is not supplied by the date specified, the Consultant will report the commitment as unevidenced and shall have no liability for any consequence. The Consultant does not calculate social value in monetary terms, does not apply any proxy valuation framework such as the TOMs framework unless separately instructed and quoted, and does not calculate greenhouse gas emissions or carbon figures. The Client remains solely responsible for delivering its contractual social value commitments and for the accuracy of every report submitted in its name.</w:t>
      </w:r>
    </w:p>
    <w:p w14:paraId="4017E1E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 reporting cycles per year. Report format as required at the date of instruction; a change of format imposed by the Contracting Authority is a variation.</w:t>
      </w:r>
    </w:p>
    <w:p w14:paraId="6F4140F0"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309F3F5C">
          <v:rect id="_x0000_i1026" alt="" style="width:451.3pt;height:.05pt;mso-width-percent:0;mso-height-percent:0;mso-width-percent:0;mso-height-percent:0" o:hralign="center" o:hrstd="t" o:hr="t" fillcolor="#a0a0a0" stroked="f"/>
        </w:pict>
      </w:r>
    </w:p>
    <w:p w14:paraId="35652CF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14. RETAINER</w:t>
      </w:r>
    </w:p>
    <w:p w14:paraId="057B3AF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Scope is at Section R.C of the Retainer Schedule (file 03, Part 1). Do not duplicate it here. Note in particular that authorship is never included in the retainer fee and is always charged separately at the preferential rate.</w:t>
      </w:r>
    </w:p>
    <w:p w14:paraId="63925F96" w14:textId="77777777" w:rsidR="009E2C69" w:rsidRPr="009E2C69" w:rsidRDefault="00166B20" w:rsidP="009E2C69">
      <w:pPr>
        <w:rPr>
          <w:rFonts w:ascii="Times New Roman" w:eastAsia="Times New Roman" w:hAnsi="Times New Roman" w:cs="Times New Roman"/>
          <w:kern w:val="0"/>
          <w:lang w:eastAsia="en-GB"/>
          <w14:ligatures w14:val="none"/>
        </w:rPr>
      </w:pPr>
      <w:r w:rsidRPr="00166B20">
        <w:rPr>
          <w:rFonts w:ascii="Times New Roman" w:eastAsia="Times New Roman" w:hAnsi="Times New Roman" w:cs="Times New Roman"/>
          <w:noProof/>
          <w:kern w:val="0"/>
          <w:lang w:eastAsia="en-GB"/>
        </w:rPr>
        <w:pict w14:anchorId="0AEFA7A9">
          <v:rect id="_x0000_i1025" style="width:0;height:1.5pt" o:hralign="center" o:hrstd="t" o:hr="t" fillcolor="#a0a0a0" stroked="f"/>
        </w:pict>
      </w:r>
    </w:p>
    <w:p w14:paraId="0169E45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15.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2"/>
        <w:gridCol w:w="1046"/>
        <w:gridCol w:w="1427"/>
        <w:gridCol w:w="1481"/>
        <w:gridCol w:w="2655"/>
      </w:tblGrid>
      <w:tr w:rsidR="009E2C69" w:rsidRPr="009E2C69" w14:paraId="635D3266" w14:textId="77777777">
        <w:trPr>
          <w:tblHeader/>
          <w:tblCellSpacing w:w="15" w:type="dxa"/>
        </w:trPr>
        <w:tc>
          <w:tcPr>
            <w:tcW w:w="0" w:type="auto"/>
            <w:vAlign w:val="center"/>
            <w:hideMark/>
          </w:tcPr>
          <w:p w14:paraId="566AD30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5B2F589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SERVICE</w:t>
            </w:r>
          </w:p>
        </w:tc>
        <w:tc>
          <w:tcPr>
            <w:tcW w:w="0" w:type="auto"/>
            <w:vAlign w:val="center"/>
            <w:hideMark/>
          </w:tcPr>
          <w:p w14:paraId="4266670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FEE BAND</w:t>
            </w:r>
          </w:p>
        </w:tc>
        <w:tc>
          <w:tcPr>
            <w:tcW w:w="0" w:type="auto"/>
            <w:vAlign w:val="center"/>
            <w:hideMark/>
          </w:tcPr>
          <w:p w14:paraId="6D8A7C8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SHORT-FORM LETTER</w:t>
            </w:r>
          </w:p>
        </w:tc>
        <w:tc>
          <w:tcPr>
            <w:tcW w:w="0" w:type="auto"/>
            <w:vAlign w:val="center"/>
            <w:hideMark/>
          </w:tcPr>
          <w:p w14:paraId="74D77DA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DPA REQUIRED</w:t>
            </w:r>
          </w:p>
        </w:tc>
        <w:tc>
          <w:tcPr>
            <w:tcW w:w="0" w:type="auto"/>
            <w:vAlign w:val="center"/>
            <w:hideMark/>
          </w:tcPr>
          <w:p w14:paraId="09FDA98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THE EXCLUSION THAT MATTERS MOST</w:t>
            </w:r>
          </w:p>
        </w:tc>
      </w:tr>
      <w:tr w:rsidR="009E2C69" w:rsidRPr="009E2C69" w14:paraId="43CD8261" w14:textId="77777777">
        <w:trPr>
          <w:tblCellSpacing w:w="15" w:type="dxa"/>
        </w:trPr>
        <w:tc>
          <w:tcPr>
            <w:tcW w:w="0" w:type="auto"/>
            <w:vAlign w:val="center"/>
            <w:hideMark/>
          </w:tcPr>
          <w:p w14:paraId="096360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w:t>
            </w:r>
          </w:p>
        </w:tc>
        <w:tc>
          <w:tcPr>
            <w:tcW w:w="0" w:type="auto"/>
            <w:vAlign w:val="center"/>
            <w:hideMark/>
          </w:tcPr>
          <w:p w14:paraId="446C7D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Fit Score</w:t>
            </w:r>
          </w:p>
        </w:tc>
        <w:tc>
          <w:tcPr>
            <w:tcW w:w="0" w:type="auto"/>
            <w:vAlign w:val="center"/>
            <w:hideMark/>
          </w:tcPr>
          <w:p w14:paraId="111C4B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£150–£350</w:t>
            </w:r>
          </w:p>
        </w:tc>
        <w:tc>
          <w:tcPr>
            <w:tcW w:w="0" w:type="auto"/>
            <w:vAlign w:val="center"/>
            <w:hideMark/>
          </w:tcPr>
          <w:p w14:paraId="058C28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CEE6E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12117BF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Opinion at a date; no post-delivery monitoring</w:t>
            </w:r>
          </w:p>
        </w:tc>
      </w:tr>
      <w:tr w:rsidR="009E2C69" w:rsidRPr="009E2C69" w14:paraId="22D9E5D8" w14:textId="77777777">
        <w:trPr>
          <w:tblCellSpacing w:w="15" w:type="dxa"/>
        </w:trPr>
        <w:tc>
          <w:tcPr>
            <w:tcW w:w="0" w:type="auto"/>
            <w:vAlign w:val="center"/>
            <w:hideMark/>
          </w:tcPr>
          <w:p w14:paraId="3E0FA0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w:t>
            </w:r>
          </w:p>
        </w:tc>
        <w:tc>
          <w:tcPr>
            <w:tcW w:w="0" w:type="auto"/>
            <w:vAlign w:val="center"/>
            <w:hideMark/>
          </w:tcPr>
          <w:p w14:paraId="788574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Readiness Assessment</w:t>
            </w:r>
          </w:p>
        </w:tc>
        <w:tc>
          <w:tcPr>
            <w:tcW w:w="0" w:type="auto"/>
            <w:vAlign w:val="center"/>
            <w:hideMark/>
          </w:tcPr>
          <w:p w14:paraId="32CE6E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£250–£500</w:t>
            </w:r>
          </w:p>
        </w:tc>
        <w:tc>
          <w:tcPr>
            <w:tcW w:w="0" w:type="auto"/>
            <w:vAlign w:val="center"/>
            <w:hideMark/>
          </w:tcPr>
          <w:p w14:paraId="348065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3CCAC4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If personnel data</w:t>
            </w:r>
          </w:p>
        </w:tc>
        <w:tc>
          <w:tcPr>
            <w:tcW w:w="0" w:type="auto"/>
            <w:vAlign w:val="center"/>
            <w:hideMark/>
          </w:tcPr>
          <w:p w14:paraId="49F04D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Documents reviewed, arrangements not audited</w:t>
            </w:r>
          </w:p>
        </w:tc>
      </w:tr>
      <w:tr w:rsidR="009E2C69" w:rsidRPr="009E2C69" w14:paraId="7B433BC3" w14:textId="77777777">
        <w:trPr>
          <w:tblCellSpacing w:w="15" w:type="dxa"/>
        </w:trPr>
        <w:tc>
          <w:tcPr>
            <w:tcW w:w="0" w:type="auto"/>
            <w:vAlign w:val="center"/>
            <w:hideMark/>
          </w:tcPr>
          <w:p w14:paraId="1C5347B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3</w:t>
            </w:r>
          </w:p>
        </w:tc>
        <w:tc>
          <w:tcPr>
            <w:tcW w:w="0" w:type="auto"/>
            <w:vAlign w:val="center"/>
            <w:hideMark/>
          </w:tcPr>
          <w:p w14:paraId="41F407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Post-Tender Debrief Analysis</w:t>
            </w:r>
          </w:p>
        </w:tc>
        <w:tc>
          <w:tcPr>
            <w:tcW w:w="0" w:type="auto"/>
            <w:vAlign w:val="center"/>
            <w:hideMark/>
          </w:tcPr>
          <w:p w14:paraId="49C93F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£200–£450</w:t>
            </w:r>
          </w:p>
        </w:tc>
        <w:tc>
          <w:tcPr>
            <w:tcW w:w="0" w:type="auto"/>
            <w:vAlign w:val="center"/>
            <w:hideMark/>
          </w:tcPr>
          <w:p w14:paraId="48A4A7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FB32B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7A7610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challenge; challenge limitation periods are short</w:t>
            </w:r>
          </w:p>
        </w:tc>
      </w:tr>
      <w:tr w:rsidR="009E2C69" w:rsidRPr="009E2C69" w14:paraId="7169F8B2" w14:textId="77777777">
        <w:trPr>
          <w:tblCellSpacing w:w="15" w:type="dxa"/>
        </w:trPr>
        <w:tc>
          <w:tcPr>
            <w:tcW w:w="0" w:type="auto"/>
            <w:vAlign w:val="center"/>
            <w:hideMark/>
          </w:tcPr>
          <w:p w14:paraId="5D58945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w:t>
            </w:r>
          </w:p>
        </w:tc>
        <w:tc>
          <w:tcPr>
            <w:tcW w:w="0" w:type="auto"/>
            <w:vAlign w:val="center"/>
            <w:hideMark/>
          </w:tcPr>
          <w:p w14:paraId="2A3F81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Review and Rewrite</w:t>
            </w:r>
          </w:p>
        </w:tc>
        <w:tc>
          <w:tcPr>
            <w:tcW w:w="0" w:type="auto"/>
            <w:vAlign w:val="center"/>
            <w:hideMark/>
          </w:tcPr>
          <w:p w14:paraId="615ED3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£250–£600</w:t>
            </w:r>
          </w:p>
        </w:tc>
        <w:tc>
          <w:tcPr>
            <w:tcW w:w="0" w:type="auto"/>
            <w:vAlign w:val="center"/>
            <w:hideMark/>
          </w:tcPr>
          <w:p w14:paraId="0DDBB6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0F4AA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Likely</w:t>
            </w:r>
          </w:p>
        </w:tc>
        <w:tc>
          <w:tcPr>
            <w:tcW w:w="0" w:type="auto"/>
            <w:vAlign w:val="center"/>
            <w:hideMark/>
          </w:tcPr>
          <w:p w14:paraId="0542DEC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new content originated; requote as authorship if the draft is thin</w:t>
            </w:r>
          </w:p>
        </w:tc>
      </w:tr>
      <w:tr w:rsidR="009E2C69" w:rsidRPr="009E2C69" w14:paraId="40714329" w14:textId="77777777">
        <w:trPr>
          <w:tblCellSpacing w:w="15" w:type="dxa"/>
        </w:trPr>
        <w:tc>
          <w:tcPr>
            <w:tcW w:w="0" w:type="auto"/>
            <w:vAlign w:val="center"/>
            <w:hideMark/>
          </w:tcPr>
          <w:p w14:paraId="0976B4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w:t>
            </w:r>
          </w:p>
        </w:tc>
        <w:tc>
          <w:tcPr>
            <w:tcW w:w="0" w:type="auto"/>
            <w:vAlign w:val="center"/>
            <w:hideMark/>
          </w:tcPr>
          <w:p w14:paraId="29F8A6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Tender and PQQ Writing</w:t>
            </w:r>
          </w:p>
        </w:tc>
        <w:tc>
          <w:tcPr>
            <w:tcW w:w="0" w:type="auto"/>
            <w:vAlign w:val="center"/>
            <w:hideMark/>
          </w:tcPr>
          <w:p w14:paraId="431BB8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£500–£2,000</w:t>
            </w:r>
          </w:p>
        </w:tc>
        <w:tc>
          <w:tcPr>
            <w:tcW w:w="0" w:type="auto"/>
            <w:vAlign w:val="center"/>
            <w:hideMark/>
          </w:tcPr>
          <w:p w14:paraId="1990A1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5C9543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5531C4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verification; no pricing; no submission</w:t>
            </w:r>
          </w:p>
        </w:tc>
      </w:tr>
      <w:tr w:rsidR="009E2C69" w:rsidRPr="009E2C69" w14:paraId="6490DF3A" w14:textId="77777777">
        <w:trPr>
          <w:tblCellSpacing w:w="15" w:type="dxa"/>
        </w:trPr>
        <w:tc>
          <w:tcPr>
            <w:tcW w:w="0" w:type="auto"/>
            <w:vAlign w:val="center"/>
            <w:hideMark/>
          </w:tcPr>
          <w:p w14:paraId="542A54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w:t>
            </w:r>
          </w:p>
        </w:tc>
        <w:tc>
          <w:tcPr>
            <w:tcW w:w="0" w:type="auto"/>
            <w:vAlign w:val="center"/>
            <w:hideMark/>
          </w:tcPr>
          <w:p w14:paraId="76F9E1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Social Value Statements</w:t>
            </w:r>
          </w:p>
        </w:tc>
        <w:tc>
          <w:tcPr>
            <w:tcW w:w="0" w:type="auto"/>
            <w:vAlign w:val="center"/>
            <w:hideMark/>
          </w:tcPr>
          <w:p w14:paraId="6B3B0B3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£300–£900</w:t>
            </w:r>
          </w:p>
        </w:tc>
        <w:tc>
          <w:tcPr>
            <w:tcW w:w="0" w:type="auto"/>
            <w:vAlign w:val="center"/>
            <w:hideMark/>
          </w:tcPr>
          <w:p w14:paraId="532AC51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2AD85B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Possibly</w:t>
            </w:r>
          </w:p>
        </w:tc>
        <w:tc>
          <w:tcPr>
            <w:tcW w:w="0" w:type="auto"/>
            <w:vAlign w:val="center"/>
            <w:hideMark/>
          </w:tcPr>
          <w:p w14:paraId="49307F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Commitments become contractual obligations on award</w:t>
            </w:r>
          </w:p>
        </w:tc>
      </w:tr>
      <w:tr w:rsidR="009E2C69" w:rsidRPr="009E2C69" w14:paraId="67A67DBA" w14:textId="77777777">
        <w:trPr>
          <w:tblCellSpacing w:w="15" w:type="dxa"/>
        </w:trPr>
        <w:tc>
          <w:tcPr>
            <w:tcW w:w="0" w:type="auto"/>
            <w:vAlign w:val="center"/>
            <w:hideMark/>
          </w:tcPr>
          <w:p w14:paraId="24D092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w:t>
            </w:r>
          </w:p>
        </w:tc>
        <w:tc>
          <w:tcPr>
            <w:tcW w:w="0" w:type="auto"/>
            <w:vAlign w:val="center"/>
            <w:hideMark/>
          </w:tcPr>
          <w:p w14:paraId="70960D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Financial and Costed Business Case</w:t>
            </w:r>
          </w:p>
        </w:tc>
        <w:tc>
          <w:tcPr>
            <w:tcW w:w="0" w:type="auto"/>
            <w:vAlign w:val="center"/>
            <w:hideMark/>
          </w:tcPr>
          <w:p w14:paraId="47840CE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£300–£800</w:t>
            </w:r>
          </w:p>
        </w:tc>
        <w:tc>
          <w:tcPr>
            <w:tcW w:w="0" w:type="auto"/>
            <w:vAlign w:val="center"/>
            <w:hideMark/>
          </w:tcPr>
          <w:p w14:paraId="2FF0C5E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2E5E9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Unlikely</w:t>
            </w:r>
          </w:p>
        </w:tc>
        <w:tc>
          <w:tcPr>
            <w:tcW w:w="0" w:type="auto"/>
            <w:vAlign w:val="center"/>
            <w:hideMark/>
          </w:tcPr>
          <w:p w14:paraId="092EE8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figure is calculated or checked</w:t>
            </w:r>
          </w:p>
        </w:tc>
      </w:tr>
      <w:tr w:rsidR="009E2C69" w:rsidRPr="009E2C69" w14:paraId="7D75FF41" w14:textId="77777777">
        <w:trPr>
          <w:tblCellSpacing w:w="15" w:type="dxa"/>
        </w:trPr>
        <w:tc>
          <w:tcPr>
            <w:tcW w:w="0" w:type="auto"/>
            <w:vAlign w:val="center"/>
            <w:hideMark/>
          </w:tcPr>
          <w:p w14:paraId="793246A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w:t>
            </w:r>
          </w:p>
        </w:tc>
        <w:tc>
          <w:tcPr>
            <w:tcW w:w="0" w:type="auto"/>
            <w:vAlign w:val="center"/>
            <w:hideMark/>
          </w:tcPr>
          <w:p w14:paraId="18CE29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Accreditation Support</w:t>
            </w:r>
          </w:p>
        </w:tc>
        <w:tc>
          <w:tcPr>
            <w:tcW w:w="0" w:type="auto"/>
            <w:vAlign w:val="center"/>
            <w:hideMark/>
          </w:tcPr>
          <w:p w14:paraId="3810496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£300–£700</w:t>
            </w:r>
          </w:p>
        </w:tc>
        <w:tc>
          <w:tcPr>
            <w:tcW w:w="0" w:type="auto"/>
            <w:vAlign w:val="center"/>
            <w:hideMark/>
          </w:tcPr>
          <w:p w14:paraId="63DC91C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1FD1D40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4FBF6A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warranty of accreditation; no competent person services</w:t>
            </w:r>
          </w:p>
        </w:tc>
      </w:tr>
      <w:tr w:rsidR="009E2C69" w:rsidRPr="009E2C69" w14:paraId="7C4EF606" w14:textId="77777777">
        <w:trPr>
          <w:tblCellSpacing w:w="15" w:type="dxa"/>
        </w:trPr>
        <w:tc>
          <w:tcPr>
            <w:tcW w:w="0" w:type="auto"/>
            <w:vAlign w:val="center"/>
            <w:hideMark/>
          </w:tcPr>
          <w:p w14:paraId="32CE55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9</w:t>
            </w:r>
          </w:p>
        </w:tc>
        <w:tc>
          <w:tcPr>
            <w:tcW w:w="0" w:type="auto"/>
            <w:vAlign w:val="center"/>
            <w:hideMark/>
          </w:tcPr>
          <w:p w14:paraId="30BE76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Evidence Bank Development</w:t>
            </w:r>
          </w:p>
        </w:tc>
        <w:tc>
          <w:tcPr>
            <w:tcW w:w="0" w:type="auto"/>
            <w:vAlign w:val="center"/>
            <w:hideMark/>
          </w:tcPr>
          <w:p w14:paraId="15D910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£800–£2,000</w:t>
            </w:r>
          </w:p>
        </w:tc>
        <w:tc>
          <w:tcPr>
            <w:tcW w:w="0" w:type="auto"/>
            <w:vAlign w:val="center"/>
            <w:hideMark/>
          </w:tcPr>
          <w:p w14:paraId="434959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7009C5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41DAA7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Content is theirs, structure is yours</w:t>
            </w:r>
          </w:p>
        </w:tc>
      </w:tr>
      <w:tr w:rsidR="009E2C69" w:rsidRPr="009E2C69" w14:paraId="476AA264" w14:textId="77777777">
        <w:trPr>
          <w:tblCellSpacing w:w="15" w:type="dxa"/>
        </w:trPr>
        <w:tc>
          <w:tcPr>
            <w:tcW w:w="0" w:type="auto"/>
            <w:vAlign w:val="center"/>
            <w:hideMark/>
          </w:tcPr>
          <w:p w14:paraId="7C4131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10</w:t>
            </w:r>
          </w:p>
        </w:tc>
        <w:tc>
          <w:tcPr>
            <w:tcW w:w="0" w:type="auto"/>
            <w:vAlign w:val="center"/>
            <w:hideMark/>
          </w:tcPr>
          <w:p w14:paraId="6C1D75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Framework Applications</w:t>
            </w:r>
          </w:p>
        </w:tc>
        <w:tc>
          <w:tcPr>
            <w:tcW w:w="0" w:type="auto"/>
            <w:vAlign w:val="center"/>
            <w:hideMark/>
          </w:tcPr>
          <w:p w14:paraId="413099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£800–£2,500</w:t>
            </w:r>
          </w:p>
        </w:tc>
        <w:tc>
          <w:tcPr>
            <w:tcW w:w="0" w:type="auto"/>
            <w:vAlign w:val="center"/>
            <w:hideMark/>
          </w:tcPr>
          <w:p w14:paraId="006EFE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3D385F9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36B7E2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place is not a call-off</w:t>
            </w:r>
          </w:p>
        </w:tc>
      </w:tr>
      <w:tr w:rsidR="009E2C69" w:rsidRPr="009E2C69" w14:paraId="2D858514" w14:textId="77777777">
        <w:trPr>
          <w:tblCellSpacing w:w="15" w:type="dxa"/>
        </w:trPr>
        <w:tc>
          <w:tcPr>
            <w:tcW w:w="0" w:type="auto"/>
            <w:vAlign w:val="center"/>
            <w:hideMark/>
          </w:tcPr>
          <w:p w14:paraId="60E4BC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w:t>
            </w:r>
          </w:p>
        </w:tc>
        <w:tc>
          <w:tcPr>
            <w:tcW w:w="0" w:type="auto"/>
            <w:vAlign w:val="center"/>
            <w:hideMark/>
          </w:tcPr>
          <w:p w14:paraId="42103E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Bid Coordination</w:t>
            </w:r>
          </w:p>
        </w:tc>
        <w:tc>
          <w:tcPr>
            <w:tcW w:w="0" w:type="auto"/>
            <w:vAlign w:val="center"/>
            <w:hideMark/>
          </w:tcPr>
          <w:p w14:paraId="044362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£900–£2,500</w:t>
            </w:r>
          </w:p>
        </w:tc>
        <w:tc>
          <w:tcPr>
            <w:tcW w:w="0" w:type="auto"/>
            <w:vAlign w:val="center"/>
            <w:hideMark/>
          </w:tcPr>
          <w:p w14:paraId="281D14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 use file 02</w:t>
            </w:r>
          </w:p>
        </w:tc>
        <w:tc>
          <w:tcPr>
            <w:tcW w:w="0" w:type="auto"/>
            <w:vAlign w:val="center"/>
            <w:hideMark/>
          </w:tcPr>
          <w:p w14:paraId="7EAF327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22302E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the consortium agreement or competition law</w:t>
            </w:r>
          </w:p>
        </w:tc>
      </w:tr>
      <w:tr w:rsidR="009E2C69" w:rsidRPr="009E2C69" w14:paraId="5418B159" w14:textId="77777777">
        <w:trPr>
          <w:tblCellSpacing w:w="15" w:type="dxa"/>
        </w:trPr>
        <w:tc>
          <w:tcPr>
            <w:tcW w:w="0" w:type="auto"/>
            <w:vAlign w:val="center"/>
            <w:hideMark/>
          </w:tcPr>
          <w:p w14:paraId="764F2C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12</w:t>
            </w:r>
          </w:p>
        </w:tc>
        <w:tc>
          <w:tcPr>
            <w:tcW w:w="0" w:type="auto"/>
            <w:vAlign w:val="center"/>
            <w:hideMark/>
          </w:tcPr>
          <w:p w14:paraId="566DFB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Contract Mobilisation</w:t>
            </w:r>
          </w:p>
        </w:tc>
        <w:tc>
          <w:tcPr>
            <w:tcW w:w="0" w:type="auto"/>
            <w:vAlign w:val="center"/>
            <w:hideMark/>
          </w:tcPr>
          <w:p w14:paraId="544B318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£400–£1,200</w:t>
            </w:r>
          </w:p>
        </w:tc>
        <w:tc>
          <w:tcPr>
            <w:tcW w:w="0" w:type="auto"/>
            <w:vAlign w:val="center"/>
            <w:hideMark/>
          </w:tcPr>
          <w:p w14:paraId="63B85CB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32C8B8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Possibly</w:t>
            </w:r>
          </w:p>
        </w:tc>
        <w:tc>
          <w:tcPr>
            <w:tcW w:w="0" w:type="auto"/>
            <w:vAlign w:val="center"/>
            <w:hideMark/>
          </w:tcPr>
          <w:p w14:paraId="5966B4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contractual meaning or effect</w:t>
            </w:r>
          </w:p>
        </w:tc>
      </w:tr>
      <w:tr w:rsidR="009E2C69" w:rsidRPr="009E2C69" w14:paraId="74674F98" w14:textId="77777777">
        <w:trPr>
          <w:tblCellSpacing w:w="15" w:type="dxa"/>
        </w:trPr>
        <w:tc>
          <w:tcPr>
            <w:tcW w:w="0" w:type="auto"/>
            <w:vAlign w:val="center"/>
            <w:hideMark/>
          </w:tcPr>
          <w:p w14:paraId="525883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13</w:t>
            </w:r>
          </w:p>
        </w:tc>
        <w:tc>
          <w:tcPr>
            <w:tcW w:w="0" w:type="auto"/>
            <w:vAlign w:val="center"/>
            <w:hideMark/>
          </w:tcPr>
          <w:p w14:paraId="28CC66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Social Value Delivery Reporting</w:t>
            </w:r>
          </w:p>
        </w:tc>
        <w:tc>
          <w:tcPr>
            <w:tcW w:w="0" w:type="auto"/>
            <w:vAlign w:val="center"/>
            <w:hideMark/>
          </w:tcPr>
          <w:p w14:paraId="4493F4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£300–£600 per cycle</w:t>
            </w:r>
          </w:p>
        </w:tc>
        <w:tc>
          <w:tcPr>
            <w:tcW w:w="0" w:type="auto"/>
            <w:vAlign w:val="center"/>
            <w:hideMark/>
          </w:tcPr>
          <w:p w14:paraId="7B168FE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2B9BC23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1175EF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Reports evidence supplied; delivers and verifies nothing</w:t>
            </w:r>
          </w:p>
        </w:tc>
      </w:tr>
    </w:tbl>
    <w:p w14:paraId="09C6950A" w14:textId="3A657E05"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470C3"/>
    <w:multiLevelType w:val="multilevel"/>
    <w:tmpl w:val="7C8C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F5CB0"/>
    <w:multiLevelType w:val="multilevel"/>
    <w:tmpl w:val="2888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FDA"/>
    <w:multiLevelType w:val="multilevel"/>
    <w:tmpl w:val="3372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8053E"/>
    <w:multiLevelType w:val="multilevel"/>
    <w:tmpl w:val="9E78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36B91"/>
    <w:multiLevelType w:val="multilevel"/>
    <w:tmpl w:val="C526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24107"/>
    <w:multiLevelType w:val="multilevel"/>
    <w:tmpl w:val="D22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E5B40"/>
    <w:multiLevelType w:val="multilevel"/>
    <w:tmpl w:val="E0C8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54332"/>
    <w:multiLevelType w:val="multilevel"/>
    <w:tmpl w:val="09E8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B0C96"/>
    <w:multiLevelType w:val="multilevel"/>
    <w:tmpl w:val="224A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2717D"/>
    <w:multiLevelType w:val="multilevel"/>
    <w:tmpl w:val="24AC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E2D65"/>
    <w:multiLevelType w:val="multilevel"/>
    <w:tmpl w:val="7F4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D79FF"/>
    <w:multiLevelType w:val="multilevel"/>
    <w:tmpl w:val="DE7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D3054"/>
    <w:multiLevelType w:val="multilevel"/>
    <w:tmpl w:val="9F2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F31834"/>
    <w:multiLevelType w:val="multilevel"/>
    <w:tmpl w:val="666E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AA5862"/>
    <w:multiLevelType w:val="multilevel"/>
    <w:tmpl w:val="C3A8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819535">
    <w:abstractNumId w:val="5"/>
  </w:num>
  <w:num w:numId="2" w16cid:durableId="818767837">
    <w:abstractNumId w:val="11"/>
  </w:num>
  <w:num w:numId="3" w16cid:durableId="1918981088">
    <w:abstractNumId w:val="13"/>
  </w:num>
  <w:num w:numId="4" w16cid:durableId="488524144">
    <w:abstractNumId w:val="3"/>
  </w:num>
  <w:num w:numId="5" w16cid:durableId="980958412">
    <w:abstractNumId w:val="7"/>
  </w:num>
  <w:num w:numId="6" w16cid:durableId="1482236463">
    <w:abstractNumId w:val="10"/>
  </w:num>
  <w:num w:numId="7" w16cid:durableId="807864359">
    <w:abstractNumId w:val="6"/>
  </w:num>
  <w:num w:numId="8" w16cid:durableId="579102599">
    <w:abstractNumId w:val="1"/>
  </w:num>
  <w:num w:numId="9" w16cid:durableId="470636223">
    <w:abstractNumId w:val="0"/>
  </w:num>
  <w:num w:numId="10" w16cid:durableId="286355060">
    <w:abstractNumId w:val="8"/>
  </w:num>
  <w:num w:numId="11" w16cid:durableId="1762137838">
    <w:abstractNumId w:val="4"/>
  </w:num>
  <w:num w:numId="12" w16cid:durableId="297996145">
    <w:abstractNumId w:val="12"/>
  </w:num>
  <w:num w:numId="13" w16cid:durableId="1966428101">
    <w:abstractNumId w:val="2"/>
  </w:num>
  <w:num w:numId="14" w16cid:durableId="55051598">
    <w:abstractNumId w:val="14"/>
  </w:num>
  <w:num w:numId="15" w16cid:durableId="186412704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69"/>
    <w:rsid w:val="00166B20"/>
    <w:rsid w:val="003E4C6F"/>
    <w:rsid w:val="00452B2F"/>
    <w:rsid w:val="006E783B"/>
    <w:rsid w:val="009E2C69"/>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AF2B"/>
  <w15:chartTrackingRefBased/>
  <w15:docId w15:val="{C95F8D11-D3B7-C44D-83BC-428D434B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C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C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C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C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C69"/>
    <w:rPr>
      <w:rFonts w:eastAsiaTheme="majorEastAsia" w:cstheme="majorBidi"/>
      <w:color w:val="272727" w:themeColor="text1" w:themeTint="D8"/>
    </w:rPr>
  </w:style>
  <w:style w:type="paragraph" w:styleId="Title">
    <w:name w:val="Title"/>
    <w:basedOn w:val="Normal"/>
    <w:next w:val="Normal"/>
    <w:link w:val="TitleChar"/>
    <w:uiPriority w:val="10"/>
    <w:qFormat/>
    <w:rsid w:val="009E2C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C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C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2C69"/>
    <w:rPr>
      <w:i/>
      <w:iCs/>
      <w:color w:val="404040" w:themeColor="text1" w:themeTint="BF"/>
    </w:rPr>
  </w:style>
  <w:style w:type="paragraph" w:styleId="ListParagraph">
    <w:name w:val="List Paragraph"/>
    <w:basedOn w:val="Normal"/>
    <w:uiPriority w:val="34"/>
    <w:qFormat/>
    <w:rsid w:val="009E2C69"/>
    <w:pPr>
      <w:ind w:left="720"/>
      <w:contextualSpacing/>
    </w:pPr>
  </w:style>
  <w:style w:type="character" w:styleId="IntenseEmphasis">
    <w:name w:val="Intense Emphasis"/>
    <w:basedOn w:val="DefaultParagraphFont"/>
    <w:uiPriority w:val="21"/>
    <w:qFormat/>
    <w:rsid w:val="009E2C69"/>
    <w:rPr>
      <w:i/>
      <w:iCs/>
      <w:color w:val="0F4761" w:themeColor="accent1" w:themeShade="BF"/>
    </w:rPr>
  </w:style>
  <w:style w:type="paragraph" w:styleId="IntenseQuote">
    <w:name w:val="Intense Quote"/>
    <w:basedOn w:val="Normal"/>
    <w:next w:val="Normal"/>
    <w:link w:val="IntenseQuoteChar"/>
    <w:uiPriority w:val="30"/>
    <w:qFormat/>
    <w:rsid w:val="009E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C69"/>
    <w:rPr>
      <w:i/>
      <w:iCs/>
      <w:color w:val="0F4761" w:themeColor="accent1" w:themeShade="BF"/>
    </w:rPr>
  </w:style>
  <w:style w:type="character" w:styleId="IntenseReference">
    <w:name w:val="Intense Reference"/>
    <w:basedOn w:val="DefaultParagraphFont"/>
    <w:uiPriority w:val="32"/>
    <w:qFormat/>
    <w:rsid w:val="009E2C69"/>
    <w:rPr>
      <w:b/>
      <w:bCs/>
      <w:smallCaps/>
      <w:color w:val="0F4761" w:themeColor="accent1" w:themeShade="BF"/>
      <w:spacing w:val="5"/>
    </w:rPr>
  </w:style>
  <w:style w:type="paragraph" w:styleId="NormalWeb">
    <w:name w:val="Normal (Web)"/>
    <w:basedOn w:val="Normal"/>
    <w:uiPriority w:val="99"/>
    <w:semiHidden/>
    <w:unhideWhenUsed/>
    <w:rsid w:val="009E2C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2C69"/>
    <w:rPr>
      <w:b/>
      <w:bCs/>
    </w:rPr>
  </w:style>
  <w:style w:type="character" w:styleId="Emphasis">
    <w:name w:val="Emphasis"/>
    <w:basedOn w:val="DefaultParagraphFont"/>
    <w:uiPriority w:val="20"/>
    <w:qFormat/>
    <w:rsid w:val="009E2C69"/>
    <w:rPr>
      <w:i/>
      <w:iCs/>
    </w:rPr>
  </w:style>
  <w:style w:type="character" w:styleId="HTMLCode">
    <w:name w:val="HTML Code"/>
    <w:basedOn w:val="DefaultParagraphFont"/>
    <w:uiPriority w:val="99"/>
    <w:semiHidden/>
    <w:unhideWhenUsed/>
    <w:rsid w:val="009E2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8179</Words>
  <Characters>46623</Characters>
  <Application>Microsoft Office Word</Application>
  <DocSecurity>0</DocSecurity>
  <Lines>388</Lines>
  <Paragraphs>109</Paragraphs>
  <ScaleCrop>false</ScaleCrop>
  <Company/>
  <LinksUpToDate>false</LinksUpToDate>
  <CharactersWithSpaces>54693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2026-09-10T22:43:00Z</dcterms:created>
  <dcterms:modified xsi:type="dcterms:W3CDTF">2026-09-10T22:43:00Z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E9F2F512-7C67-4CB5-870A-7A21B4199F2D</vt:lpwstr>
  </property>
</Properties>
</file>