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rFonts w:ascii="Calibri" w:cs="Calibri" w:eastAsia="Calibri" w:hAnsi="Calibri"/>
          <w:b/>
          <w:bCs/>
          <w:color w:val="5A5A5A"/>
          <w:spacing w:val="110"/>
          <w:sz w:val="14"/>
          <w:szCs w:val="14"/>
        </w:rPr>
        <w:t xml:space="preserve">PUBLISHED STATEMENT</w:t>
      </w:r>
    </w:p>
    <w:p>
      <w:pPr>
        <w:pBdr>
          <w:bottom w:val="single" w:color="2B2B2B" w:sz="12"/>
        </w:pBdr>
        <w:spacing w:after="220" w:before="0"/>
      </w:pPr>
      <w:r>
        <w:rPr>
          <w:sz w:val="2"/>
          <w:szCs w:val="2"/>
        </w:rPr>
        <w:t xml:space="preserve"/>
      </w:r>
    </w:p>
    <w:p>
      <w:pPr>
        <w:spacing w:after="90" w:before="140"/>
      </w:pPr>
      <w:r>
        <w:rPr>
          <w:rFonts w:ascii="Georgia" w:cs="Georgia" w:eastAsia="Georgia" w:hAnsi="Georgia"/>
          <w:color w:val="2B2B2B"/>
          <w:sz w:val="40"/>
          <w:szCs w:val="40"/>
        </w:rPr>
        <w:t xml:space="preserve">Modern Slavery and
Equality, Diversity
and Inclusion Statement</w:t>
      </w:r>
    </w:p>
    <w:p>
      <w:pPr>
        <w:spacing w:after="200" w:before="0"/>
      </w:pPr>
      <w:r>
        <w:rPr>
          <w:rFonts w:ascii="Georgia" w:cs="Georgia" w:eastAsia="Georgia" w:hAnsi="Georgia"/>
          <w:i/>
          <w:iCs/>
          <w:color w:val="5A5A5A"/>
          <w:sz w:val="22"/>
          <w:szCs w:val="22"/>
        </w:rPr>
        <w:t xml:space="preserve">[CLIENT LEGAL NAME]</w:t>
      </w:r>
    </w:p>
    <w:p>
      <w:pPr>
        <w:spacing w:after="300" w:before="0"/>
      </w:pPr>
      <w:r>
        <w:rPr>
          <w:rFonts w:ascii="Calibri" w:cs="Calibri" w:eastAsia="Calibri" w:hAnsi="Calibri"/>
          <w:i/>
          <w:iCs/>
          <w:color w:val="6A6A6A"/>
          <w:sz w:val="18"/>
          <w:szCs w:val="18"/>
        </w:rPr>
        <w:t xml:space="preserve">Master template — SME suppliers to public sector construction and healthcare contracts</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3100"/>
        <w:gridCol w:w="6646"/>
      </w:tblGrid>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DOCUMENT OWNER</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[DOCUMENT OWNER NAME], [DOCUMENT OWNER ROLE]</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VERSION</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[VERSION NUMBER]</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LAST REVIEWED</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[LAST REVIEWED DATE]</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NEXT REVIEW DATE</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[NEXT REVIEW DATE]</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CLIENT</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[CLIENT LEGAL NAME]</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REPORTING PERIOD</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[REPORTING PERIOD START] to [REPORTING PERIOD END]</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PUBLISHED AT</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[STATEMENT WEB ADDRESS]</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BOARD APPROVAL DATE</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[BOARD APPROVAL DATE]</w:t>
            </w:r>
          </w:p>
        </w:tc>
      </w:tr>
    </w:tbl>
    <w:p>
      <w:r>
        <w:rPr>
          <w:sz w:val="14"/>
          <w:szCs w:val="14"/>
        </w:rPr>
        <w:t xml:space="preserve"/>
      </w:r>
    </w:p>
    <w:p>
      <w:pPr>
        <w:pStyle w:val="Heading1"/>
        <w:pBdr>
          <w:bottom w:val="single" w:color="2B2B2B" w:sz="8"/>
        </w:pBdr>
        <w:spacing w:after="60" w:before="460"/>
      </w:pPr>
      <w:r>
        <w:rPr>
          <w:rFonts w:ascii="Georgia" w:cs="Georgia" w:eastAsia="Georgia" w:hAnsi="Georgia"/>
          <w:color w:val="2B2B2B"/>
          <w:spacing w:val="26"/>
          <w:sz w:val="25"/>
          <w:szCs w:val="25"/>
        </w:rPr>
        <w:t xml:space="preserve">PART ONE — MODERN SLAVERY AND HUMAN TRAFFICKING STATEMENT</w:t>
      </w:r>
    </w:p>
    <w:p>
      <w:pPr>
        <w:pStyle w:val="Heading2"/>
        <w:spacing w:after="110" w:before="320"/>
      </w:pPr>
      <w:r>
        <w:rPr>
          <w:rFonts w:ascii="Georgia" w:cs="Georgia" w:eastAsia="Georgia" w:hAnsi="Georgia"/>
          <w:b/>
          <w:bCs/>
          <w:color w:val="2B2B2B"/>
          <w:sz w:val="21"/>
          <w:szCs w:val="21"/>
        </w:rPr>
        <w:t xml:space="preserve">1.1 Statement basis</w:t>
      </w:r>
    </w:p>
    <w:p>
      <w:pPr>
        <w:spacing w:after="130" w:before="60"/>
      </w:pPr>
      <w:r>
        <w:rPr>
          <w:rFonts w:ascii="Calibri" w:cs="Calibri" w:eastAsia="Calibri" w:hAnsi="Calibri"/>
          <w:b w:val="false"/>
          <w:bCs w:val="false"/>
          <w:i w:val="false"/>
          <w:iCs w:val="false"/>
          <w:color w:val="1A1A1A"/>
          <w:sz w:val="20"/>
          <w:szCs w:val="20"/>
        </w:rPr>
        <w:t xml:space="preserve">1.1(a) This statement is made by [CLIENT LEGAL NAME] in respect of the financial year ending [FINANCIAL YEAR END DATE].</w:t>
      </w:r>
    </w:p>
    <w:p>
      <w:pPr>
        <w:spacing w:after="130" w:before="60"/>
      </w:pPr>
      <w:r>
        <w:rPr>
          <w:rFonts w:ascii="Calibri" w:cs="Calibri" w:eastAsia="Calibri" w:hAnsi="Calibri"/>
          <w:b w:val="false"/>
          <w:bCs w:val="false"/>
          <w:i w:val="false"/>
          <w:iCs w:val="false"/>
          <w:color w:val="1A1A1A"/>
          <w:sz w:val="20"/>
          <w:szCs w:val="20"/>
        </w:rPr>
        <w:t xml:space="preserve">1.1(b) Annual turnover is £[ANNUAL TURNOVER]. Section 54 of the Modern Slavery Act 2015 applies to commercial organisations with an annual turnover of £36 million or more. The organisation's position is: [SECTION 54 APPLIES — STATEMENT PUBLISHED AS REQUIRED / SECTION 54 DOES NOT APPLY — THIS STATEMENT IS PUBLISHED VOLUNTARILY].</w:t>
      </w:r>
    </w:p>
    <w:p>
      <w:pPr>
        <w:spacing w:after="130" w:before="60"/>
      </w:pPr>
      <w:r>
        <w:rPr>
          <w:rFonts w:ascii="Calibri" w:cs="Calibri" w:eastAsia="Calibri" w:hAnsi="Calibri"/>
          <w:b w:val="false"/>
          <w:bCs w:val="false"/>
          <w:i w:val="false"/>
          <w:iCs w:val="false"/>
          <w:color w:val="1A1A1A"/>
          <w:sz w:val="20"/>
          <w:szCs w:val="20"/>
        </w:rPr>
        <w:t xml:space="preserve">1.1(c) The statement is published at [STATEMENT WEB ADDRESS] and, where applicable, on the Modern Slavery Statement Registry.</w:t>
      </w:r>
    </w:p>
    <w:p>
      <w:pPr>
        <w:spacing w:after="130" w:before="60"/>
      </w:pPr>
      <w:r>
        <w:rPr>
          <w:rFonts w:ascii="Calibri" w:cs="Calibri" w:eastAsia="Calibri" w:hAnsi="Calibri"/>
          <w:b w:val="false"/>
          <w:bCs w:val="false"/>
          <w:i w:val="false"/>
          <w:iCs w:val="false"/>
          <w:color w:val="1A1A1A"/>
          <w:sz w:val="20"/>
          <w:szCs w:val="20"/>
        </w:rPr>
        <w:t xml:space="preserve">1.1(d) The organisation's approach reflects the expectations of PPN 009, Tackling modern slavery in government supply chains (formerly PPN 02/23).</w:t>
      </w:r>
    </w:p>
    <w:p>
      <w:pPr>
        <w:pStyle w:val="Heading2"/>
        <w:spacing w:after="110" w:before="320"/>
      </w:pPr>
      <w:r>
        <w:rPr>
          <w:rFonts w:ascii="Georgia" w:cs="Georgia" w:eastAsia="Georgia" w:hAnsi="Georgia"/>
          <w:b/>
          <w:bCs/>
          <w:color w:val="2B2B2B"/>
          <w:sz w:val="21"/>
          <w:szCs w:val="21"/>
        </w:rPr>
        <w:t xml:space="preserve">1.2 Organisational structure and supply chains</w:t>
      </w:r>
    </w:p>
    <w:p>
      <w:pPr>
        <w:spacing w:after="130" w:before="60"/>
      </w:pPr>
      <w:r>
        <w:rPr>
          <w:rFonts w:ascii="Calibri" w:cs="Calibri" w:eastAsia="Calibri" w:hAnsi="Calibri"/>
          <w:b w:val="false"/>
          <w:bCs w:val="false"/>
          <w:i w:val="false"/>
          <w:iCs w:val="false"/>
          <w:color w:val="1A1A1A"/>
          <w:sz w:val="20"/>
          <w:szCs w:val="20"/>
        </w:rPr>
        <w:t xml:space="preserve">[CLIENT LEGAL NAME] is a [LEGAL FORM] registered in [COUNTRY OF REGISTRATION] under company number [COMPANY REGISTRATION NUMBER]. The organisation employs [EMPLOYEE HEADCOUNT] people across [NUMBER OF SITES] site(s) in [OPERATING REGIONS].</w:t>
      </w:r>
    </w:p>
    <w:p>
      <w:pPr>
        <w:spacing w:after="130" w:before="60"/>
      </w:pPr>
      <w:r>
        <w:rPr>
          <w:rFonts w:ascii="Calibri" w:cs="Calibri" w:eastAsia="Calibri" w:hAnsi="Calibri"/>
          <w:b w:val="false"/>
          <w:bCs w:val="false"/>
          <w:i w:val="false"/>
          <w:iCs w:val="false"/>
          <w:color w:val="1A1A1A"/>
          <w:sz w:val="20"/>
          <w:szCs w:val="20"/>
        </w:rPr>
        <w:t xml:space="preserve">The organisation provides [DESCRIPTION OF GOODS, SERVICES OR WORKS] to clients in [CLIENT SECTORS].</w:t>
      </w:r>
    </w:p>
    <w:p>
      <w:pPr>
        <w:spacing w:after="130" w:before="60"/>
      </w:pPr>
      <w:r>
        <w:rPr>
          <w:rFonts w:ascii="Calibri" w:cs="Calibri" w:eastAsia="Calibri" w:hAnsi="Calibri"/>
          <w:b w:val="false"/>
          <w:bCs w:val="false"/>
          <w:i w:val="false"/>
          <w:iCs w:val="false"/>
          <w:color w:val="1A1A1A"/>
          <w:sz w:val="20"/>
          <w:szCs w:val="20"/>
        </w:rPr>
        <w:t xml:space="preserve">The supply chain comprises [NUMBER OF SUPPLIERS] active suppliers, principally in [SUPPLY CHAIN CATEGORIES]. [PERCENTAGE OF SUPPLIERS UK BASED]% of suppliers by spend are UK-based. Direct sourcing from outside the United Kingdom covers [OVERSEAS SOURCING TERRITORIES].</w:t>
      </w:r>
    </w:p>
    <w:p>
      <w:pPr>
        <w:spacing w:after="130" w:before="60"/>
      </w:pPr>
      <w:r>
        <w:rPr>
          <w:rFonts w:ascii="Calibri" w:cs="Calibri" w:eastAsia="Calibri" w:hAnsi="Calibri"/>
          <w:b w:val="false"/>
          <w:bCs w:val="false"/>
          <w:i w:val="false"/>
          <w:iCs w:val="false"/>
          <w:color w:val="1A1A1A"/>
          <w:sz w:val="20"/>
          <w:szCs w:val="20"/>
        </w:rPr>
        <w:t xml:space="preserve">Labour is engaged through: [DIRECT EMPLOYMENT / AGENCY LABOUR / SUBCONTRACTED LABOUR / SELF-EMPLOYED OPERATIVES / BANK AND LOCUM STAFF].</w:t>
      </w:r>
    </w:p>
    <w:p>
      <w:pPr>
        <w:pStyle w:val="Heading2"/>
        <w:spacing w:after="110" w:before="320"/>
      </w:pPr>
      <w:r>
        <w:rPr>
          <w:rFonts w:ascii="Georgia" w:cs="Georgia" w:eastAsia="Georgia" w:hAnsi="Georgia"/>
          <w:b/>
          <w:bCs/>
          <w:color w:val="2B2B2B"/>
          <w:sz w:val="21"/>
          <w:szCs w:val="21"/>
        </w:rPr>
        <w:t xml:space="preserve">1.3 Risk assessment</w:t>
      </w:r>
    </w:p>
    <w:p>
      <w:pPr>
        <w:spacing w:after="130" w:before="60"/>
      </w:pPr>
      <w:r>
        <w:rPr>
          <w:rFonts w:ascii="Calibri" w:cs="Calibri" w:eastAsia="Calibri" w:hAnsi="Calibri"/>
          <w:b w:val="false"/>
          <w:bCs w:val="false"/>
          <w:i w:val="false"/>
          <w:iCs w:val="false"/>
          <w:color w:val="1A1A1A"/>
          <w:sz w:val="20"/>
          <w:szCs w:val="20"/>
        </w:rPr>
        <w:t xml:space="preserve">Risk of modern slavery within the organisation's own operations: [LOW / MEDIUM / HIGH]. Within the supply chain: [LOW / MEDIUM / HIGH].</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1670"/>
        <w:gridCol w:w="3093"/>
        <w:gridCol w:w="2335"/>
        <w:gridCol w:w="2648"/>
      </w:tblGrid>
      <w:tr>
        <w:trPr>
          <w:tblHeader/>
        </w:trPr>
        <w:tc>
          <w:tcPr>
            <w:tcW w:type="dxa" w:w="1670"/>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RISK AREA</w:t>
            </w:r>
          </w:p>
        </w:tc>
        <w:tc>
          <w:tcPr>
            <w:tcW w:type="dxa" w:w="3093"/>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BASIS OF ASSESSMENT</w:t>
            </w:r>
          </w:p>
        </w:tc>
        <w:tc>
          <w:tcPr>
            <w:tcW w:type="dxa" w:w="2335"/>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RATING</w:t>
            </w:r>
          </w:p>
        </w:tc>
        <w:tc>
          <w:tcPr>
            <w:tcW w:type="dxa" w:w="2648"/>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CONTROLS APPLIED</w:t>
            </w:r>
          </w:p>
        </w:tc>
      </w:tr>
      <w:tr>
        <w:tc>
          <w:tcPr>
            <w:tcW w:type="dxa" w:w="167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[RISK AREA]</w:t>
            </w:r>
          </w:p>
        </w:tc>
        <w:tc>
          <w:tcPr>
            <w:tcW w:type="dxa" w:w="309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[BASIS OF ASSESSMENT]</w:t>
            </w:r>
          </w:p>
        </w:tc>
        <w:tc>
          <w:tcPr>
            <w:tcW w:type="dxa" w:w="233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[LOW / MEDIUM / HIGH]</w:t>
            </w:r>
          </w:p>
        </w:tc>
        <w:tc>
          <w:tcPr>
            <w:tcW w:type="dxa" w:w="264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[CONTROLS APPLIED]</w:t>
            </w:r>
          </w:p>
        </w:tc>
      </w:tr>
      <w:tr>
        <w:tc>
          <w:tcPr>
            <w:tcW w:type="dxa" w:w="167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[RISK AREA]</w:t>
            </w:r>
          </w:p>
        </w:tc>
        <w:tc>
          <w:tcPr>
            <w:tcW w:type="dxa" w:w="309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[BASIS OF ASSESSMENT]</w:t>
            </w:r>
          </w:p>
        </w:tc>
        <w:tc>
          <w:tcPr>
            <w:tcW w:type="dxa" w:w="233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[LOW / MEDIUM / HIGH]</w:t>
            </w:r>
          </w:p>
        </w:tc>
        <w:tc>
          <w:tcPr>
            <w:tcW w:type="dxa" w:w="264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[CONTROLS APPLIED]</w:t>
            </w:r>
          </w:p>
        </w:tc>
      </w:tr>
      <w:tr>
        <w:tc>
          <w:tcPr>
            <w:tcW w:type="dxa" w:w="167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[RISK AREA]</w:t>
            </w:r>
          </w:p>
        </w:tc>
        <w:tc>
          <w:tcPr>
            <w:tcW w:type="dxa" w:w="309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[BASIS OF ASSESSMENT]</w:t>
            </w:r>
          </w:p>
        </w:tc>
        <w:tc>
          <w:tcPr>
            <w:tcW w:type="dxa" w:w="233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[LOW / MEDIUM / HIGH]</w:t>
            </w:r>
          </w:p>
        </w:tc>
        <w:tc>
          <w:tcPr>
            <w:tcW w:type="dxa" w:w="264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[CONTROLS APPLIED]</w:t>
            </w:r>
          </w:p>
        </w:tc>
      </w:tr>
    </w:tbl>
    <w:p>
      <w:r>
        <w:rPr>
          <w:sz w:val="16"/>
          <w:szCs w:val="16"/>
        </w:rPr>
        <w:t xml:space="preserve"/>
      </w:r>
    </w:p>
    <w:p>
      <w:pPr>
        <w:spacing w:after="130" w:before="60"/>
      </w:pPr>
      <w:r>
        <w:rPr>
          <w:rFonts w:ascii="Calibri" w:cs="Calibri" w:eastAsia="Calibri" w:hAnsi="Calibri"/>
          <w:b w:val="false"/>
          <w:bCs w:val="false"/>
          <w:i w:val="false"/>
          <w:iCs w:val="false"/>
          <w:color w:val="1A1A1A"/>
          <w:sz w:val="20"/>
          <w:szCs w:val="20"/>
        </w:rPr>
        <w:t xml:space="preserve">Factors taken into account include the use of agency and subcontracted labour, low-skilled and temporary roles, sourcing from higher-risk territories, extended or opaque supply chains, and short-notice or high-volume resourcing.</w:t>
      </w:r>
    </w:p>
    <w:p>
      <w:pPr>
        <w:pStyle w:val="Heading2"/>
        <w:spacing w:after="110" w:before="320"/>
      </w:pPr>
      <w:r>
        <w:rPr>
          <w:rFonts w:ascii="Georgia" w:cs="Georgia" w:eastAsia="Georgia" w:hAnsi="Georgia"/>
          <w:b/>
          <w:bCs/>
          <w:color w:val="2B2B2B"/>
          <w:sz w:val="21"/>
          <w:szCs w:val="21"/>
        </w:rPr>
        <w:t xml:space="preserve">1.4 Policies</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2976"/>
        <w:gridCol w:w="1332"/>
        <w:gridCol w:w="1902"/>
        <w:gridCol w:w="2155"/>
        <w:gridCol w:w="1381"/>
      </w:tblGrid>
      <w:tr>
        <w:trPr>
          <w:tblHeader/>
        </w:trPr>
        <w:tc>
          <w:tcPr>
            <w:tcW w:type="dxa" w:w="2976"/>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POLICY</w:t>
            </w:r>
          </w:p>
        </w:tc>
        <w:tc>
          <w:tcPr>
            <w:tcW w:type="dxa" w:w="1332"/>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IN PLACE</w:t>
            </w:r>
          </w:p>
        </w:tc>
        <w:tc>
          <w:tcPr>
            <w:tcW w:type="dxa" w:w="1902"/>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VERSION</w:t>
            </w:r>
          </w:p>
        </w:tc>
        <w:tc>
          <w:tcPr>
            <w:tcW w:type="dxa" w:w="2155"/>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LAST REVIEWED</w:t>
            </w:r>
          </w:p>
        </w:tc>
        <w:tc>
          <w:tcPr>
            <w:tcW w:type="dxa" w:w="1381"/>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3"/>
                <w:szCs w:val="13"/>
              </w:rPr>
              <w:t xml:space="preserve">APPLIES TO</w:t>
            </w:r>
          </w:p>
        </w:tc>
      </w:tr>
      <w:tr>
        <w:tc>
          <w:tcPr>
            <w:tcW w:type="dxa" w:w="297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Modern Slavery and Human Trafficking Policy</w:t>
            </w:r>
          </w:p>
        </w:tc>
        <w:tc>
          <w:tcPr>
            <w:tcW w:type="dxa" w:w="133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90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215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38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[SCOPE]</w:t>
            </w:r>
          </w:p>
        </w:tc>
      </w:tr>
      <w:tr>
        <w:tc>
          <w:tcPr>
            <w:tcW w:type="dxa" w:w="297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Whistleblowing Policy</w:t>
            </w:r>
          </w:p>
        </w:tc>
        <w:tc>
          <w:tcPr>
            <w:tcW w:type="dxa" w:w="133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90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215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38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[SCOPE]</w:t>
            </w:r>
          </w:p>
        </w:tc>
      </w:tr>
      <w:tr>
        <w:tc>
          <w:tcPr>
            <w:tcW w:type="dxa" w:w="297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Recruitment and Right to Work Policy</w:t>
            </w:r>
          </w:p>
        </w:tc>
        <w:tc>
          <w:tcPr>
            <w:tcW w:type="dxa" w:w="133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90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215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38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[SCOPE]</w:t>
            </w:r>
          </w:p>
        </w:tc>
      </w:tr>
      <w:tr>
        <w:tc>
          <w:tcPr>
            <w:tcW w:type="dxa" w:w="297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Supplier Code of Conduct</w:t>
            </w:r>
          </w:p>
        </w:tc>
        <w:tc>
          <w:tcPr>
            <w:tcW w:type="dxa" w:w="133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90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215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38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[SCOPE]</w:t>
            </w:r>
          </w:p>
        </w:tc>
      </w:tr>
      <w:tr>
        <w:tc>
          <w:tcPr>
            <w:tcW w:type="dxa" w:w="297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Safeguarding Policy</w:t>
            </w:r>
          </w:p>
        </w:tc>
        <w:tc>
          <w:tcPr>
            <w:tcW w:type="dxa" w:w="133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90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215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38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[SCOPE]</w:t>
            </w:r>
          </w:p>
        </w:tc>
      </w:tr>
      <w:tr>
        <w:tc>
          <w:tcPr>
            <w:tcW w:type="dxa" w:w="297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Grievance Policy</w:t>
            </w:r>
          </w:p>
        </w:tc>
        <w:tc>
          <w:tcPr>
            <w:tcW w:type="dxa" w:w="133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90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215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38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[SCOPE]</w:t>
            </w:r>
          </w:p>
        </w:tc>
      </w:tr>
    </w:tbl>
    <w:p>
      <w:r>
        <w:rPr>
          <w:sz w:val="16"/>
          <w:szCs w:val="16"/>
        </w:rPr>
        <w:t xml:space="preserve"/>
      </w:r>
    </w:p>
    <w:p>
      <w:pPr>
        <w:pStyle w:val="Heading2"/>
        <w:spacing w:after="110" w:before="320"/>
      </w:pPr>
      <w:r>
        <w:rPr>
          <w:rFonts w:ascii="Georgia" w:cs="Georgia" w:eastAsia="Georgia" w:hAnsi="Georgia"/>
          <w:b/>
          <w:bCs/>
          <w:color w:val="2B2B2B"/>
          <w:sz w:val="21"/>
          <w:szCs w:val="21"/>
        </w:rPr>
        <w:t xml:space="preserve">1.5 Due diligence</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Right to work documentation is verified for every worker before engagement and retained for the statutory period.</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Workers are paid directly into an individual bank account held in the worker's own name. Payment of multiple workers into a single account is prohibited and treated as an indicator requiring investigation.</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No worker is charged a fee for work-finding services, and no worker is required to surrender identity documents.</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All workers receive a written statement of terms and are paid not less than the National Minimum Wage or National Living Wage applicable to them.</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Labour providers and employment agencies are verified as appropriately licensed or registered before engagement, including Gangmasters and Labour Abuse Authority licensing where the sector requires it.</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New suppliers are assessed for modern slavery risk before appointment through [SUPPLIER ONBOARDING PROCESS NAME].</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Supplier and subcontractor terms include modern slavery obligations, a right of audit and a right to terminate for breach: [YES / NO].</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Concerns may be raised confidentially through [REPORTING ROUTE] and are escalated to [ESCALATION ROLE].</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[ADDITIONAL DUE DILIGENCE MEASURE]</w:t>
      </w:r>
    </w:p>
    <w:p>
      <w:pPr>
        <w:pStyle w:val="Heading2"/>
        <w:spacing w:after="110" w:before="320"/>
      </w:pPr>
      <w:r>
        <w:rPr>
          <w:rFonts w:ascii="Georgia" w:cs="Georgia" w:eastAsia="Georgia" w:hAnsi="Georgia"/>
          <w:b/>
          <w:bCs/>
          <w:color w:val="2B2B2B"/>
          <w:sz w:val="21"/>
          <w:szCs w:val="21"/>
        </w:rPr>
        <w:t xml:space="preserve">1.6 Training</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2565"/>
        <w:gridCol w:w="2594"/>
        <w:gridCol w:w="1940"/>
        <w:gridCol w:w="2647"/>
      </w:tblGrid>
      <w:tr>
        <w:trPr>
          <w:tblHeader/>
        </w:trPr>
        <w:tc>
          <w:tcPr>
            <w:tcW w:type="dxa" w:w="2565"/>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AUDIENCE</w:t>
            </w:r>
          </w:p>
        </w:tc>
        <w:tc>
          <w:tcPr>
            <w:tcW w:type="dxa" w:w="2594"/>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TRAINING PROVIDED</w:t>
            </w:r>
          </w:p>
        </w:tc>
        <w:tc>
          <w:tcPr>
            <w:tcW w:type="dxa" w:w="1940"/>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FREQUENCY</w:t>
            </w:r>
          </w:p>
        </w:tc>
        <w:tc>
          <w:tcPr>
            <w:tcW w:type="dxa" w:w="2647"/>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COMPLETION RATE</w:t>
            </w:r>
          </w:p>
        </w:tc>
      </w:tr>
      <w:tr>
        <w:tc>
          <w:tcPr>
            <w:tcW w:type="dxa" w:w="256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Directors and senior managers</w:t>
            </w:r>
          </w:p>
        </w:tc>
        <w:tc>
          <w:tcPr>
            <w:tcW w:type="dxa" w:w="259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[TRAINING DESCRIPTION]</w:t>
            </w:r>
          </w:p>
        </w:tc>
        <w:tc>
          <w:tcPr>
            <w:tcW w:type="dxa" w:w="194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[FREQUENCY]</w:t>
            </w:r>
          </w:p>
        </w:tc>
        <w:tc>
          <w:tcPr>
            <w:tcW w:type="dxa" w:w="264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[COMPLETION PERCENTAGE]%</w:t>
            </w:r>
          </w:p>
        </w:tc>
      </w:tr>
      <w:tr>
        <w:tc>
          <w:tcPr>
            <w:tcW w:type="dxa" w:w="256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Recruitment and site or ward supervisors</w:t>
            </w:r>
          </w:p>
        </w:tc>
        <w:tc>
          <w:tcPr>
            <w:tcW w:type="dxa" w:w="259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[TRAINING DESCRIPTION]</w:t>
            </w:r>
          </w:p>
        </w:tc>
        <w:tc>
          <w:tcPr>
            <w:tcW w:type="dxa" w:w="194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[FREQUENCY]</w:t>
            </w:r>
          </w:p>
        </w:tc>
        <w:tc>
          <w:tcPr>
            <w:tcW w:type="dxa" w:w="264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[COMPLETION PERCENTAGE]%</w:t>
            </w:r>
          </w:p>
        </w:tc>
      </w:tr>
      <w:tr>
        <w:tc>
          <w:tcPr>
            <w:tcW w:type="dxa" w:w="256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All workers</w:t>
            </w:r>
          </w:p>
        </w:tc>
        <w:tc>
          <w:tcPr>
            <w:tcW w:type="dxa" w:w="259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[TRAINING DESCRIPTION]</w:t>
            </w:r>
          </w:p>
        </w:tc>
        <w:tc>
          <w:tcPr>
            <w:tcW w:type="dxa" w:w="194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[FREQUENCY]</w:t>
            </w:r>
          </w:p>
        </w:tc>
        <w:tc>
          <w:tcPr>
            <w:tcW w:type="dxa" w:w="264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[COMPLETION PERCENTAGE]%</w:t>
            </w:r>
          </w:p>
        </w:tc>
      </w:tr>
    </w:tbl>
    <w:p>
      <w:r>
        <w:rPr>
          <w:sz w:val="16"/>
          <w:szCs w:val="16"/>
        </w:rPr>
        <w:t xml:space="preserve"/>
      </w:r>
    </w:p>
    <w:p>
      <w:pPr>
        <w:pStyle w:val="Heading2"/>
        <w:spacing w:after="110" w:before="320"/>
      </w:pPr>
      <w:r>
        <w:rPr>
          <w:rFonts w:ascii="Georgia" w:cs="Georgia" w:eastAsia="Georgia" w:hAnsi="Georgia"/>
          <w:b/>
          <w:bCs/>
          <w:color w:val="2B2B2B"/>
          <w:sz w:val="21"/>
          <w:szCs w:val="21"/>
        </w:rPr>
        <w:t xml:space="preserve">1.7 Performance indicators</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4812"/>
        <w:gridCol w:w="3074"/>
        <w:gridCol w:w="1860"/>
      </w:tblGrid>
      <w:tr>
        <w:trPr>
          <w:tblHeader/>
        </w:trPr>
        <w:tc>
          <w:tcPr>
            <w:tcW w:type="dxa" w:w="4812"/>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INDICATOR</w:t>
            </w:r>
          </w:p>
        </w:tc>
        <w:tc>
          <w:tcPr>
            <w:tcW w:type="dxa" w:w="3074"/>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REPORTING PERIOD</w:t>
            </w:r>
          </w:p>
        </w:tc>
        <w:tc>
          <w:tcPr>
            <w:tcW w:type="dxa" w:w="1860"/>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RESULT</w:t>
            </w:r>
          </w:p>
        </w:tc>
      </w:tr>
      <w:tr>
        <w:tc>
          <w:tcPr>
            <w:tcW w:type="dxa" w:w="481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Suppliers assessed for modern slavery risk</w:t>
            </w:r>
          </w:p>
        </w:tc>
        <w:tc>
          <w:tcPr>
            <w:tcW w:type="dxa" w:w="307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[REPORTING PERIOD]</w:t>
            </w:r>
          </w:p>
        </w:tc>
        <w:tc>
          <w:tcPr>
            <w:tcW w:type="dxa" w:w="1860"/>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[RESULT]</w:t>
            </w:r>
          </w:p>
        </w:tc>
      </w:tr>
      <w:tr>
        <w:tc>
          <w:tcPr>
            <w:tcW w:type="dxa" w:w="481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Concerns raised through reporting routes</w:t>
            </w:r>
          </w:p>
        </w:tc>
        <w:tc>
          <w:tcPr>
            <w:tcW w:type="dxa" w:w="307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[REPORTING PERIOD]</w:t>
            </w:r>
          </w:p>
        </w:tc>
        <w:tc>
          <w:tcPr>
            <w:tcW w:type="dxa" w:w="1860"/>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[RESULT]</w:t>
            </w:r>
          </w:p>
        </w:tc>
      </w:tr>
      <w:tr>
        <w:tc>
          <w:tcPr>
            <w:tcW w:type="dxa" w:w="481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Concerns investigated, and outcome</w:t>
            </w:r>
          </w:p>
        </w:tc>
        <w:tc>
          <w:tcPr>
            <w:tcW w:type="dxa" w:w="307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[REPORTING PERIOD]</w:t>
            </w:r>
          </w:p>
        </w:tc>
        <w:tc>
          <w:tcPr>
            <w:tcW w:type="dxa" w:w="1860"/>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[RESULT]</w:t>
            </w:r>
          </w:p>
        </w:tc>
      </w:tr>
      <w:tr>
        <w:tc>
          <w:tcPr>
            <w:tcW w:type="dxa" w:w="481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Workers receiving awareness training</w:t>
            </w:r>
          </w:p>
        </w:tc>
        <w:tc>
          <w:tcPr>
            <w:tcW w:type="dxa" w:w="307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[REPORTING PERIOD]</w:t>
            </w:r>
          </w:p>
        </w:tc>
        <w:tc>
          <w:tcPr>
            <w:tcW w:type="dxa" w:w="1860"/>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[RESULT]</w:t>
            </w:r>
          </w:p>
        </w:tc>
      </w:tr>
      <w:tr>
        <w:tc>
          <w:tcPr>
            <w:tcW w:type="dxa" w:w="481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Right to work audits completed</w:t>
            </w:r>
          </w:p>
        </w:tc>
        <w:tc>
          <w:tcPr>
            <w:tcW w:type="dxa" w:w="307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[REPORTING PERIOD]</w:t>
            </w:r>
          </w:p>
        </w:tc>
        <w:tc>
          <w:tcPr>
            <w:tcW w:type="dxa" w:w="1860"/>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[RESULT]</w:t>
            </w:r>
          </w:p>
        </w:tc>
      </w:tr>
    </w:tbl>
    <w:p>
      <w:r>
        <w:rPr>
          <w:sz w:val="16"/>
          <w:szCs w:val="16"/>
        </w:rPr>
        <w:t xml:space="preserve"/>
      </w:r>
    </w:p>
    <w:p>
      <w:pPr>
        <w:spacing w:after="130" w:before="60"/>
      </w:pPr>
      <w:r>
        <w:rPr>
          <w:rFonts w:ascii="Calibri" w:cs="Calibri" w:eastAsia="Calibri" w:hAnsi="Calibri"/>
          <w:b w:val="false"/>
          <w:bCs w:val="false"/>
          <w:i w:val="false"/>
          <w:iCs w:val="false"/>
          <w:color w:val="1A1A1A"/>
          <w:sz w:val="20"/>
          <w:szCs w:val="20"/>
        </w:rPr>
        <w:t xml:space="preserve">Instances of modern slavery identified within the organisation or its supply chain during the reporting period: [NUMBER]. Action taken: [ACTION TAKEN].</w:t>
      </w:r>
    </w:p>
    <w:p>
      <w:pPr>
        <w:pStyle w:val="Heading2"/>
        <w:spacing w:after="110" w:before="320"/>
      </w:pPr>
      <w:r>
        <w:rPr>
          <w:rFonts w:ascii="Georgia" w:cs="Georgia" w:eastAsia="Georgia" w:hAnsi="Georgia"/>
          <w:b/>
          <w:bCs/>
          <w:color w:val="2B2B2B"/>
          <w:sz w:val="21"/>
          <w:szCs w:val="21"/>
        </w:rPr>
        <w:t xml:space="preserve">1.8 Objectives for the next reporting period</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[OBJECTIVE] — owner: [OWNER ROLE] — target date: [TARGET DATE]</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[OBJECTIVE] — owner: [OWNER ROLE] — target date: [TARGET DATE]</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[OBJECTIVE] — owner: [OWNER ROLE] — target date: [TARGET DATE]</w:t>
      </w:r>
    </w:p>
    <w:p>
      <w:pPr>
        <w:pStyle w:val="Heading1"/>
        <w:pBdr>
          <w:bottom w:val="single" w:color="2B2B2B" w:sz="8"/>
        </w:pBdr>
        <w:spacing w:after="60" w:before="460"/>
      </w:pPr>
      <w:r>
        <w:rPr>
          <w:rFonts w:ascii="Georgia" w:cs="Georgia" w:eastAsia="Georgia" w:hAnsi="Georgia"/>
          <w:color w:val="2B2B2B"/>
          <w:spacing w:val="26"/>
          <w:sz w:val="25"/>
          <w:szCs w:val="25"/>
        </w:rPr>
        <w:t xml:space="preserve">PART TWO — EQUALITY, DIVERSITY AND INCLUSION STATEMENT</w:t>
      </w:r>
    </w:p>
    <w:p>
      <w:pPr>
        <w:pStyle w:val="Heading2"/>
        <w:spacing w:after="110" w:before="320"/>
      </w:pPr>
      <w:r>
        <w:rPr>
          <w:rFonts w:ascii="Georgia" w:cs="Georgia" w:eastAsia="Georgia" w:hAnsi="Georgia"/>
          <w:b/>
          <w:bCs/>
          <w:color w:val="2B2B2B"/>
          <w:sz w:val="21"/>
          <w:szCs w:val="21"/>
        </w:rPr>
        <w:t xml:space="preserve">2.1 Statement of commitment</w:t>
      </w:r>
    </w:p>
    <w:p>
      <w:pPr>
        <w:spacing w:after="130" w:before="60"/>
      </w:pPr>
      <w:r>
        <w:rPr>
          <w:rFonts w:ascii="Calibri" w:cs="Calibri" w:eastAsia="Calibri" w:hAnsi="Calibri"/>
          <w:b w:val="false"/>
          <w:bCs w:val="false"/>
          <w:i w:val="false"/>
          <w:iCs w:val="false"/>
          <w:color w:val="1A1A1A"/>
          <w:sz w:val="20"/>
          <w:szCs w:val="20"/>
        </w:rPr>
        <w:t xml:space="preserve">[CLIENT LEGAL NAME] complies with the Equality Act 2010 and does not discriminate, directly or indirectly, on the grounds of age, disability, gender reassignment, marriage and civil partnership, pregnancy and maternity, race, religion or belief, sex, or sexual orientation.</w:t>
      </w:r>
    </w:p>
    <w:p>
      <w:pPr>
        <w:spacing w:after="130" w:before="60"/>
      </w:pPr>
      <w:r>
        <w:rPr>
          <w:rFonts w:ascii="Calibri" w:cs="Calibri" w:eastAsia="Calibri" w:hAnsi="Calibri"/>
          <w:b w:val="false"/>
          <w:bCs w:val="false"/>
          <w:i w:val="false"/>
          <w:iCs w:val="false"/>
          <w:color w:val="1A1A1A"/>
          <w:sz w:val="20"/>
          <w:szCs w:val="20"/>
        </w:rPr>
        <w:t xml:space="preserve">The organisation recognises that contracting authorities are subject to the public sector equality duty at section 149 of the Equality Act 2010 and that suppliers delivering services on their behalf must support compliance with that duty. Where the organisation exercises public functions under a contract, it will discharge the duty in respect of those functions.</w:t>
      </w:r>
    </w:p>
    <w:p>
      <w:pPr>
        <w:spacing w:after="130" w:before="60"/>
      </w:pPr>
      <w:r>
        <w:rPr>
          <w:rFonts w:ascii="Calibri" w:cs="Calibri" w:eastAsia="Calibri" w:hAnsi="Calibri"/>
          <w:b w:val="false"/>
          <w:bCs w:val="false"/>
          <w:i w:val="false"/>
          <w:iCs w:val="false"/>
          <w:color w:val="1A1A1A"/>
          <w:sz w:val="20"/>
          <w:szCs w:val="20"/>
        </w:rPr>
        <w:t xml:space="preserve">Responsibility for equality, diversity and inclusion rests with [EDI RESPONSIBLE ROLE], reporting to [EDI REPORTING LINE].</w:t>
      </w:r>
    </w:p>
    <w:p>
      <w:pPr>
        <w:pStyle w:val="Heading2"/>
        <w:spacing w:after="110" w:before="320"/>
      </w:pPr>
      <w:r>
        <w:rPr>
          <w:rFonts w:ascii="Georgia" w:cs="Georgia" w:eastAsia="Georgia" w:hAnsi="Georgia"/>
          <w:b/>
          <w:bCs/>
          <w:color w:val="2B2B2B"/>
          <w:sz w:val="21"/>
          <w:szCs w:val="21"/>
        </w:rPr>
        <w:t xml:space="preserve">2.2 Policy framework</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2986"/>
        <w:gridCol w:w="1213"/>
        <w:gridCol w:w="1726"/>
        <w:gridCol w:w="1924"/>
        <w:gridCol w:w="1897"/>
      </w:tblGrid>
      <w:tr>
        <w:trPr>
          <w:tblHeader/>
        </w:trPr>
        <w:tc>
          <w:tcPr>
            <w:tcW w:type="dxa" w:w="2986"/>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POLICY</w:t>
            </w:r>
          </w:p>
        </w:tc>
        <w:tc>
          <w:tcPr>
            <w:tcW w:type="dxa" w:w="1213"/>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IN PLACE</w:t>
            </w:r>
          </w:p>
        </w:tc>
        <w:tc>
          <w:tcPr>
            <w:tcW w:type="dxa" w:w="1726"/>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VERSION</w:t>
            </w:r>
          </w:p>
        </w:tc>
        <w:tc>
          <w:tcPr>
            <w:tcW w:type="dxa" w:w="1924"/>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LAST REVIEWED</w:t>
            </w:r>
          </w:p>
        </w:tc>
        <w:tc>
          <w:tcPr>
            <w:tcW w:type="dxa" w:w="1897"/>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3"/>
                <w:szCs w:val="13"/>
              </w:rPr>
              <w:t xml:space="preserve">COMMUNICATED TO</w:t>
            </w:r>
          </w:p>
        </w:tc>
      </w:tr>
      <w:tr>
        <w:tc>
          <w:tcPr>
            <w:tcW w:type="dxa" w:w="298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Equality, Diversity and Inclusion Policy</w:t>
            </w:r>
          </w:p>
        </w:tc>
        <w:tc>
          <w:tcPr>
            <w:tcW w:type="dxa" w:w="121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72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19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89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[AUDIENCE]</w:t>
            </w:r>
          </w:p>
        </w:tc>
      </w:tr>
      <w:tr>
        <w:tc>
          <w:tcPr>
            <w:tcW w:type="dxa" w:w="298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Recruitment and Selection Policy</w:t>
            </w:r>
          </w:p>
        </w:tc>
        <w:tc>
          <w:tcPr>
            <w:tcW w:type="dxa" w:w="121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72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19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89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[AUDIENCE]</w:t>
            </w:r>
          </w:p>
        </w:tc>
      </w:tr>
      <w:tr>
        <w:tc>
          <w:tcPr>
            <w:tcW w:type="dxa" w:w="298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Dignity at Work and Anti-Harassment Policy</w:t>
            </w:r>
          </w:p>
        </w:tc>
        <w:tc>
          <w:tcPr>
            <w:tcW w:type="dxa" w:w="121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72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19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89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[AUDIENCE]</w:t>
            </w:r>
          </w:p>
        </w:tc>
      </w:tr>
      <w:tr>
        <w:tc>
          <w:tcPr>
            <w:tcW w:type="dxa" w:w="298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Reasonable Adjustments Policy</w:t>
            </w:r>
          </w:p>
        </w:tc>
        <w:tc>
          <w:tcPr>
            <w:tcW w:type="dxa" w:w="121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72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19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89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[AUDIENCE]</w:t>
            </w:r>
          </w:p>
        </w:tc>
      </w:tr>
      <w:tr>
        <w:tc>
          <w:tcPr>
            <w:tcW w:type="dxa" w:w="298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Flexible Working Policy</w:t>
            </w:r>
          </w:p>
        </w:tc>
        <w:tc>
          <w:tcPr>
            <w:tcW w:type="dxa" w:w="121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72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19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89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[AUDIENCE]</w:t>
            </w:r>
          </w:p>
        </w:tc>
      </w:tr>
      <w:tr>
        <w:tc>
          <w:tcPr>
            <w:tcW w:type="dxa" w:w="298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Grievance and Disciplinary Policy</w:t>
            </w:r>
          </w:p>
        </w:tc>
        <w:tc>
          <w:tcPr>
            <w:tcW w:type="dxa" w:w="121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72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19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89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[AUDIENCE]</w:t>
            </w:r>
          </w:p>
        </w:tc>
      </w:tr>
      <w:tr>
        <w:tc>
          <w:tcPr>
            <w:tcW w:type="dxa" w:w="298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Accessibility Policy</w:t>
            </w:r>
          </w:p>
        </w:tc>
        <w:tc>
          <w:tcPr>
            <w:tcW w:type="dxa" w:w="121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72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19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89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[AUDIENCE]</w:t>
            </w:r>
          </w:p>
        </w:tc>
      </w:tr>
    </w:tbl>
    <w:p>
      <w:r>
        <w:rPr>
          <w:sz w:val="16"/>
          <w:szCs w:val="16"/>
        </w:rPr>
        <w:t xml:space="preserve"/>
      </w:r>
    </w:p>
    <w:p>
      <w:pPr>
        <w:pStyle w:val="Heading2"/>
        <w:spacing w:after="110" w:before="320"/>
      </w:pPr>
      <w:r>
        <w:rPr>
          <w:rFonts w:ascii="Georgia" w:cs="Georgia" w:eastAsia="Georgia" w:hAnsi="Georgia"/>
          <w:b/>
          <w:bCs/>
          <w:color w:val="2B2B2B"/>
          <w:sz w:val="21"/>
          <w:szCs w:val="21"/>
        </w:rPr>
        <w:t xml:space="preserve">2.3 Recruitment and employment practice</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Vacancies are advertised through [RECRUITMENT CHANNELS], selected to reach a broad range of candidates.</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Selection is conducted against documented criteria, with records retained for [RECORD RETENTION PERIOD].</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Reasonable adjustments are offered at application, interview and in employment; requests are handled by [ADJUSTMENTS CONTACT ROLE].</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Disability Confident status at level [DISABILITY CONFIDENT LEVEL]: [YES / NO / NOT APPLICABLE].</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Pay is set against defined role bands and reviewed for equal pay compliance [PAY REVIEW FREQUENCY].</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Accredited Living Wage employer: [YES / NO].</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[ADDITIONAL EMPLOYMENT MEASURE]</w:t>
      </w:r>
    </w:p>
    <w:p>
      <w:pPr>
        <w:pStyle w:val="Heading2"/>
        <w:spacing w:after="110" w:before="320"/>
      </w:pPr>
      <w:r>
        <w:rPr>
          <w:rFonts w:ascii="Georgia" w:cs="Georgia" w:eastAsia="Georgia" w:hAnsi="Georgia"/>
          <w:b/>
          <w:bCs/>
          <w:color w:val="2B2B2B"/>
          <w:sz w:val="21"/>
          <w:szCs w:val="21"/>
        </w:rPr>
        <w:t xml:space="preserve">2.4 Workforce composition</w:t>
      </w:r>
    </w:p>
    <w:p>
      <w:pPr>
        <w:spacing w:after="130" w:before="60"/>
      </w:pPr>
      <w:r>
        <w:rPr>
          <w:rFonts w:ascii="Calibri" w:cs="Calibri" w:eastAsia="Calibri" w:hAnsi="Calibri"/>
          <w:b w:val="false"/>
          <w:bCs w:val="false"/>
          <w:i w:val="false"/>
          <w:iCs w:val="false"/>
          <w:color w:val="1A1A1A"/>
          <w:sz w:val="20"/>
          <w:szCs w:val="20"/>
        </w:rPr>
        <w:t xml:space="preserve">Reported on a voluntary self-declaration basis for the period ending [REPORTING PERIOD END DATE]. Data is processed in accordance with the UK GDPR and the Data Protection Act 2018.</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2379"/>
        <w:gridCol w:w="2376"/>
        <w:gridCol w:w="2446"/>
        <w:gridCol w:w="2545"/>
      </w:tblGrid>
      <w:tr>
        <w:trPr>
          <w:tblHeader/>
        </w:trPr>
        <w:tc>
          <w:tcPr>
            <w:tcW w:type="dxa" w:w="2379"/>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MEASURE</w:t>
            </w:r>
          </w:p>
        </w:tc>
        <w:tc>
          <w:tcPr>
            <w:tcW w:type="dxa" w:w="2376"/>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ALL STAFF</w:t>
            </w:r>
          </w:p>
        </w:tc>
        <w:tc>
          <w:tcPr>
            <w:tcW w:type="dxa" w:w="2446"/>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MANAGERIAL ROLES</w:t>
            </w:r>
          </w:p>
        </w:tc>
        <w:tc>
          <w:tcPr>
            <w:tcW w:type="dxa" w:w="2545"/>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BOARD OR SENIOR LEADERSHIP</w:t>
            </w:r>
          </w:p>
        </w:tc>
      </w:tr>
      <w:tr>
        <w:tc>
          <w:tcPr>
            <w:tcW w:type="dxa" w:w="23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Total headcount</w:t>
            </w:r>
          </w:p>
        </w:tc>
        <w:tc>
          <w:tcPr>
            <w:tcW w:type="dxa" w:w="237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c>
          <w:tcPr>
            <w:tcW w:type="dxa" w:w="244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c>
          <w:tcPr>
            <w:tcW w:type="dxa" w:w="254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r>
      <w:tr>
        <w:tc>
          <w:tcPr>
            <w:tcW w:type="dxa" w:w="23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Female</w:t>
            </w:r>
          </w:p>
        </w:tc>
        <w:tc>
          <w:tcPr>
            <w:tcW w:type="dxa" w:w="237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[PERCENTAGE]%</w:t>
            </w:r>
          </w:p>
        </w:tc>
        <w:tc>
          <w:tcPr>
            <w:tcW w:type="dxa" w:w="244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[PERCENTAGE]%</w:t>
            </w:r>
          </w:p>
        </w:tc>
        <w:tc>
          <w:tcPr>
            <w:tcW w:type="dxa" w:w="254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[PERCENTAGE]%</w:t>
            </w:r>
          </w:p>
        </w:tc>
      </w:tr>
      <w:tr>
        <w:tc>
          <w:tcPr>
            <w:tcW w:type="dxa" w:w="23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Ethnic minority background</w:t>
            </w:r>
          </w:p>
        </w:tc>
        <w:tc>
          <w:tcPr>
            <w:tcW w:type="dxa" w:w="237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[PERCENTAGE]%</w:t>
            </w:r>
          </w:p>
        </w:tc>
        <w:tc>
          <w:tcPr>
            <w:tcW w:type="dxa" w:w="244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[PERCENTAGE]%</w:t>
            </w:r>
          </w:p>
        </w:tc>
        <w:tc>
          <w:tcPr>
            <w:tcW w:type="dxa" w:w="254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[PERCENTAGE]%</w:t>
            </w:r>
          </w:p>
        </w:tc>
      </w:tr>
      <w:tr>
        <w:tc>
          <w:tcPr>
            <w:tcW w:type="dxa" w:w="23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Declared disability</w:t>
            </w:r>
          </w:p>
        </w:tc>
        <w:tc>
          <w:tcPr>
            <w:tcW w:type="dxa" w:w="237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[PERCENTAGE]%</w:t>
            </w:r>
          </w:p>
        </w:tc>
        <w:tc>
          <w:tcPr>
            <w:tcW w:type="dxa" w:w="244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[PERCENTAGE]%</w:t>
            </w:r>
          </w:p>
        </w:tc>
        <w:tc>
          <w:tcPr>
            <w:tcW w:type="dxa" w:w="254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[PERCENTAGE]%</w:t>
            </w:r>
          </w:p>
        </w:tc>
      </w:tr>
      <w:tr>
        <w:tc>
          <w:tcPr>
            <w:tcW w:type="dxa" w:w="23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Aged under 25</w:t>
            </w:r>
          </w:p>
        </w:tc>
        <w:tc>
          <w:tcPr>
            <w:tcW w:type="dxa" w:w="237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[PERCENTAGE]%</w:t>
            </w:r>
          </w:p>
        </w:tc>
        <w:tc>
          <w:tcPr>
            <w:tcW w:type="dxa" w:w="244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[PERCENTAGE]%</w:t>
            </w:r>
          </w:p>
        </w:tc>
        <w:tc>
          <w:tcPr>
            <w:tcW w:type="dxa" w:w="254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[PERCENTAGE]%</w:t>
            </w:r>
          </w:p>
        </w:tc>
      </w:tr>
      <w:tr>
        <w:tc>
          <w:tcPr>
            <w:tcW w:type="dxa" w:w="23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Declaration rate</w:t>
            </w:r>
          </w:p>
        </w:tc>
        <w:tc>
          <w:tcPr>
            <w:tcW w:type="dxa" w:w="237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[PERCENTAGE]%</w:t>
            </w:r>
          </w:p>
        </w:tc>
        <w:tc>
          <w:tcPr>
            <w:tcW w:type="dxa" w:w="244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[PERCENTAGE]%</w:t>
            </w:r>
          </w:p>
        </w:tc>
        <w:tc>
          <w:tcPr>
            <w:tcW w:type="dxa" w:w="254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[PERCENTAGE]%</w:t>
            </w:r>
          </w:p>
        </w:tc>
      </w:tr>
    </w:tbl>
    <w:p>
      <w:r>
        <w:rPr>
          <w:sz w:val="16"/>
          <w:szCs w:val="16"/>
        </w:rPr>
        <w:t xml:space="preserve"/>
      </w:r>
    </w:p>
    <w:p>
      <w:pPr>
        <w:spacing w:after="130" w:before="60"/>
      </w:pPr>
      <w:r>
        <w:rPr>
          <w:rFonts w:ascii="Calibri" w:cs="Calibri" w:eastAsia="Calibri" w:hAnsi="Calibri"/>
          <w:b w:val="false"/>
          <w:bCs w:val="false"/>
          <w:i w:val="false"/>
          <w:iCs w:val="false"/>
          <w:color w:val="1A1A1A"/>
          <w:sz w:val="20"/>
          <w:szCs w:val="20"/>
        </w:rPr>
        <w:t xml:space="preserve">Gender pay gap reporting applies to employers with 250 or more employees. The organisation's position: [REPORTING APPLIES — PUBLISHED AT [GENDER PAY GAP WEB ADDRESS] / REPORTING DOES NOT APPLY].</w:t>
      </w:r>
    </w:p>
    <w:p>
      <w:pPr>
        <w:pStyle w:val="Heading2"/>
        <w:spacing w:after="110" w:before="320"/>
      </w:pPr>
      <w:r>
        <w:rPr>
          <w:rFonts w:ascii="Georgia" w:cs="Georgia" w:eastAsia="Georgia" w:hAnsi="Georgia"/>
          <w:b/>
          <w:bCs/>
          <w:color w:val="2B2B2B"/>
          <w:sz w:val="21"/>
          <w:szCs w:val="21"/>
        </w:rPr>
        <w:t xml:space="preserve">2.5 Training</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2408"/>
        <w:gridCol w:w="3011"/>
        <w:gridCol w:w="1855"/>
        <w:gridCol w:w="2472"/>
      </w:tblGrid>
      <w:tr>
        <w:trPr>
          <w:tblHeader/>
        </w:trPr>
        <w:tc>
          <w:tcPr>
            <w:tcW w:type="dxa" w:w="2408"/>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AUDIENCE</w:t>
            </w:r>
          </w:p>
        </w:tc>
        <w:tc>
          <w:tcPr>
            <w:tcW w:type="dxa" w:w="3011"/>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TRAINING PROVIDED</w:t>
            </w:r>
          </w:p>
        </w:tc>
        <w:tc>
          <w:tcPr>
            <w:tcW w:type="dxa" w:w="1855"/>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FREQUENCY</w:t>
            </w:r>
          </w:p>
        </w:tc>
        <w:tc>
          <w:tcPr>
            <w:tcW w:type="dxa" w:w="2472"/>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COMPLETION RATE</w:t>
            </w:r>
          </w:p>
        </w:tc>
      </w:tr>
      <w:tr>
        <w:tc>
          <w:tcPr>
            <w:tcW w:type="dxa" w:w="240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All staff</w:t>
            </w:r>
          </w:p>
        </w:tc>
        <w:tc>
          <w:tcPr>
            <w:tcW w:type="dxa" w:w="301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Equality, diversity and inclusion awareness</w:t>
            </w:r>
          </w:p>
        </w:tc>
        <w:tc>
          <w:tcPr>
            <w:tcW w:type="dxa" w:w="185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[FREQUENCY]</w:t>
            </w:r>
          </w:p>
        </w:tc>
        <w:tc>
          <w:tcPr>
            <w:tcW w:type="dxa" w:w="247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[COMPLETION PERCENTAGE]%</w:t>
            </w:r>
          </w:p>
        </w:tc>
      </w:tr>
      <w:tr>
        <w:tc>
          <w:tcPr>
            <w:tcW w:type="dxa" w:w="240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Managers and supervisors</w:t>
            </w:r>
          </w:p>
        </w:tc>
        <w:tc>
          <w:tcPr>
            <w:tcW w:type="dxa" w:w="301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Inclusive management and fair recruitment</w:t>
            </w:r>
          </w:p>
        </w:tc>
        <w:tc>
          <w:tcPr>
            <w:tcW w:type="dxa" w:w="185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[FREQUENCY]</w:t>
            </w:r>
          </w:p>
        </w:tc>
        <w:tc>
          <w:tcPr>
            <w:tcW w:type="dxa" w:w="247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[COMPLETION PERCENTAGE]%</w:t>
            </w:r>
          </w:p>
        </w:tc>
      </w:tr>
      <w:tr>
        <w:tc>
          <w:tcPr>
            <w:tcW w:type="dxa" w:w="240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Client-facing and clinical staff</w:t>
            </w:r>
          </w:p>
        </w:tc>
        <w:tc>
          <w:tcPr>
            <w:tcW w:type="dxa" w:w="301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Accessible and inclusive service delivery</w:t>
            </w:r>
          </w:p>
        </w:tc>
        <w:tc>
          <w:tcPr>
            <w:tcW w:type="dxa" w:w="185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[FREQUENCY]</w:t>
            </w:r>
          </w:p>
        </w:tc>
        <w:tc>
          <w:tcPr>
            <w:tcW w:type="dxa" w:w="247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[COMPLETION PERCENTAGE]%</w:t>
            </w:r>
          </w:p>
        </w:tc>
      </w:tr>
    </w:tbl>
    <w:p>
      <w:r>
        <w:rPr>
          <w:sz w:val="16"/>
          <w:szCs w:val="16"/>
        </w:rPr>
        <w:t xml:space="preserve"/>
      </w:r>
    </w:p>
    <w:p>
      <w:pPr>
        <w:pStyle w:val="Heading2"/>
        <w:spacing w:after="110" w:before="320"/>
      </w:pPr>
      <w:r>
        <w:rPr>
          <w:rFonts w:ascii="Georgia" w:cs="Georgia" w:eastAsia="Georgia" w:hAnsi="Georgia"/>
          <w:b/>
          <w:bCs/>
          <w:color w:val="2B2B2B"/>
          <w:sz w:val="21"/>
          <w:szCs w:val="21"/>
        </w:rPr>
        <w:t xml:space="preserve">2.6 Service delivery and accessibility</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Services are designed and delivered so as to be accessible to all service users, including disabled people.</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Reasonable adjustments for service users are provided on request through [SERVICE USER ADJUSTMENTS ROUTE].</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Written and digital materials meet [ACCESSIBILITY STANDARD APPLIED].</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Interpreting, translation and communication support is available through [COMMUNICATION SUPPORT ARRANGEMENTS].</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Equality impact considerations are recorded at contract mobilisation and reviewed [EQUALITY IMPACT REVIEW FREQUENCY].</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Complaints alleging discrimination are recorded, investigated and reported to [COMPLAINTS ESCALATION ROLE] within [COMPLAINTS RESPONSE PERIOD].</w:t>
      </w:r>
    </w:p>
    <w:p>
      <w:pPr>
        <w:pStyle w:val="Heading2"/>
        <w:spacing w:after="110" w:before="320"/>
      </w:pPr>
      <w:r>
        <w:rPr>
          <w:rFonts w:ascii="Georgia" w:cs="Georgia" w:eastAsia="Georgia" w:hAnsi="Georgia"/>
          <w:b/>
          <w:bCs/>
          <w:color w:val="2B2B2B"/>
          <w:sz w:val="21"/>
          <w:szCs w:val="21"/>
        </w:rPr>
        <w:t xml:space="preserve">2.7 Supply chain</w:t>
      </w:r>
    </w:p>
    <w:p>
      <w:pPr>
        <w:spacing w:after="130" w:before="60"/>
      </w:pPr>
      <w:r>
        <w:rPr>
          <w:rFonts w:ascii="Calibri" w:cs="Calibri" w:eastAsia="Calibri" w:hAnsi="Calibri"/>
          <w:b w:val="false"/>
          <w:bCs w:val="false"/>
          <w:i w:val="false"/>
          <w:iCs w:val="false"/>
          <w:color w:val="1A1A1A"/>
          <w:sz w:val="20"/>
          <w:szCs w:val="20"/>
        </w:rPr>
        <w:t xml:space="preserve">Suppliers and subcontractors are required to comply with the Equality Act 2010 and with the organisation's equality standards through [CONTRACTUAL MECHANISM]. Compliance is verified at [SUPPLIER VERIFICATION STAGE].</w:t>
      </w:r>
    </w:p>
    <w:p>
      <w:pPr>
        <w:spacing w:after="130" w:before="60"/>
      </w:pPr>
      <w:r>
        <w:rPr>
          <w:rFonts w:ascii="Calibri" w:cs="Calibri" w:eastAsia="Calibri" w:hAnsi="Calibri"/>
          <w:b w:val="false"/>
          <w:bCs w:val="false"/>
          <w:i w:val="false"/>
          <w:iCs w:val="false"/>
          <w:color w:val="1A1A1A"/>
          <w:sz w:val="20"/>
          <w:szCs w:val="20"/>
        </w:rPr>
        <w:t xml:space="preserve">The organisation seeks to include small and medium-sized enterprises, voluntary, community and social enterprises, and diverse-owned businesses within its supply chain: [YES / NO]. Measures applied: [SUPPLY CHAIN DIVERSITY MEASURES].</w:t>
      </w:r>
    </w:p>
    <w:p>
      <w:pPr>
        <w:pStyle w:val="Heading2"/>
        <w:spacing w:after="110" w:before="320"/>
      </w:pPr>
      <w:r>
        <w:rPr>
          <w:rFonts w:ascii="Georgia" w:cs="Georgia" w:eastAsia="Georgia" w:hAnsi="Georgia"/>
          <w:b/>
          <w:bCs/>
          <w:color w:val="2B2B2B"/>
          <w:sz w:val="21"/>
          <w:szCs w:val="21"/>
        </w:rPr>
        <w:t xml:space="preserve">2.8 Declaration of findings</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1080"/>
        <w:gridCol w:w="6628"/>
        <w:gridCol w:w="2038"/>
      </w:tblGrid>
      <w:tr>
        <w:trPr>
          <w:tblHeader/>
        </w:trPr>
        <w:tc>
          <w:tcPr>
            <w:tcW w:type="dxa" w:w="1080"/>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REF</w:t>
            </w:r>
          </w:p>
        </w:tc>
        <w:tc>
          <w:tcPr>
            <w:tcW w:type="dxa" w:w="6628"/>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DECLARATION</w:t>
            </w:r>
          </w:p>
        </w:tc>
        <w:tc>
          <w:tcPr>
            <w:tcW w:type="dxa" w:w="2038"/>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RESPONSE</w:t>
            </w:r>
          </w:p>
        </w:tc>
      </w:tr>
      <w:tr>
        <w:tc>
          <w:tcPr>
            <w:tcW w:type="dxa" w:w="108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2.8(a)</w:t>
            </w:r>
          </w:p>
        </w:tc>
        <w:tc>
          <w:tcPr>
            <w:tcW w:type="dxa" w:w="662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In the last three years, has any finding of unlawful discrimination been made against the organisation by an Employment Tribunal, the Employment Appeal Tribunal or any other court?</w:t>
            </w:r>
          </w:p>
        </w:tc>
        <w:tc>
          <w:tcPr>
            <w:tcW w:type="dxa" w:w="20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108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2.8(b)</w:t>
            </w:r>
          </w:p>
        </w:tc>
        <w:tc>
          <w:tcPr>
            <w:tcW w:type="dxa" w:w="662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In the last three years, has the organisation been the subject of a formal investigation or inquiry by the Equality and Human Rights Commission, or entered into a binding agreement or undertaking with it, on grounds of alleged unlawful discrimination?</w:t>
            </w:r>
          </w:p>
        </w:tc>
        <w:tc>
          <w:tcPr>
            <w:tcW w:type="dxa" w:w="20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108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2.8(c)</w:t>
            </w:r>
          </w:p>
        </w:tc>
        <w:tc>
          <w:tcPr>
            <w:tcW w:type="dxa" w:w="662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If yes to either, give particulars, the outcome and the remedial action taken</w:t>
            </w:r>
          </w:p>
        </w:tc>
        <w:tc>
          <w:tcPr>
            <w:tcW w:type="dxa" w:w="20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[PARTICULARS AND REMEDIAL ACTION]</w:t>
            </w:r>
          </w:p>
        </w:tc>
      </w:tr>
    </w:tbl>
    <w:p>
      <w:r>
        <w:rPr>
          <w:sz w:val="16"/>
          <w:szCs w:val="16"/>
        </w:rPr>
        <w:t xml:space="preserve"/>
      </w:r>
    </w:p>
    <w:p>
      <w:pPr>
        <w:pStyle w:val="Heading2"/>
        <w:spacing w:after="110" w:before="320"/>
      </w:pPr>
      <w:r>
        <w:rPr>
          <w:rFonts w:ascii="Georgia" w:cs="Georgia" w:eastAsia="Georgia" w:hAnsi="Georgia"/>
          <w:b/>
          <w:bCs/>
          <w:color w:val="2B2B2B"/>
          <w:sz w:val="21"/>
          <w:szCs w:val="21"/>
        </w:rPr>
        <w:t xml:space="preserve">2.9 Objectives and governance</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1952"/>
        <w:gridCol w:w="1588"/>
        <w:gridCol w:w="1734"/>
        <w:gridCol w:w="1442"/>
        <w:gridCol w:w="1622"/>
        <w:gridCol w:w="1408"/>
      </w:tblGrid>
      <w:tr>
        <w:trPr>
          <w:tblHeader/>
        </w:trPr>
        <w:tc>
          <w:tcPr>
            <w:tcW w:type="dxa" w:w="1952"/>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OBJECTIVE</w:t>
            </w:r>
          </w:p>
        </w:tc>
        <w:tc>
          <w:tcPr>
            <w:tcW w:type="dxa" w:w="1588"/>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MEASURE</w:t>
            </w:r>
          </w:p>
        </w:tc>
        <w:tc>
          <w:tcPr>
            <w:tcW w:type="dxa" w:w="1734"/>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BASELINE</w:t>
            </w:r>
          </w:p>
        </w:tc>
        <w:tc>
          <w:tcPr>
            <w:tcW w:type="dxa" w:w="1442"/>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TARGET</w:t>
            </w:r>
          </w:p>
        </w:tc>
        <w:tc>
          <w:tcPr>
            <w:tcW w:type="dxa" w:w="1622"/>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TARGET DATE</w:t>
            </w:r>
          </w:p>
        </w:tc>
        <w:tc>
          <w:tcPr>
            <w:tcW w:type="dxa" w:w="1408"/>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3"/>
                <w:szCs w:val="13"/>
              </w:rPr>
              <w:t xml:space="preserve">OWNER</w:t>
            </w:r>
          </w:p>
        </w:tc>
      </w:tr>
      <w:tr>
        <w:tc>
          <w:tcPr>
            <w:tcW w:type="dxa" w:w="195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[EDI OBJECTIVE]</w:t>
            </w:r>
          </w:p>
        </w:tc>
        <w:tc>
          <w:tcPr>
            <w:tcW w:type="dxa" w:w="158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[MEASURE]</w:t>
            </w:r>
          </w:p>
        </w:tc>
        <w:tc>
          <w:tcPr>
            <w:tcW w:type="dxa" w:w="173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[BASELINE]</w:t>
            </w:r>
          </w:p>
        </w:tc>
        <w:tc>
          <w:tcPr>
            <w:tcW w:type="dxa" w:w="144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[TARGET]</w:t>
            </w:r>
          </w:p>
        </w:tc>
        <w:tc>
          <w:tcPr>
            <w:tcW w:type="dxa" w:w="162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[TARGET DATE]</w:t>
            </w:r>
          </w:p>
        </w:tc>
        <w:tc>
          <w:tcPr>
            <w:tcW w:type="dxa" w:w="140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[OWNER ROLE]</w:t>
            </w:r>
          </w:p>
        </w:tc>
      </w:tr>
      <w:tr>
        <w:tc>
          <w:tcPr>
            <w:tcW w:type="dxa" w:w="195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[EDI OBJECTIVE]</w:t>
            </w:r>
          </w:p>
        </w:tc>
        <w:tc>
          <w:tcPr>
            <w:tcW w:type="dxa" w:w="158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[MEASURE]</w:t>
            </w:r>
          </w:p>
        </w:tc>
        <w:tc>
          <w:tcPr>
            <w:tcW w:type="dxa" w:w="173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[BASELINE]</w:t>
            </w:r>
          </w:p>
        </w:tc>
        <w:tc>
          <w:tcPr>
            <w:tcW w:type="dxa" w:w="144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[TARGET]</w:t>
            </w:r>
          </w:p>
        </w:tc>
        <w:tc>
          <w:tcPr>
            <w:tcW w:type="dxa" w:w="162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[TARGET DATE]</w:t>
            </w:r>
          </w:p>
        </w:tc>
        <w:tc>
          <w:tcPr>
            <w:tcW w:type="dxa" w:w="140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[OWNER ROLE]</w:t>
            </w:r>
          </w:p>
        </w:tc>
      </w:tr>
      <w:tr>
        <w:tc>
          <w:tcPr>
            <w:tcW w:type="dxa" w:w="195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[EDI OBJECTIVE]</w:t>
            </w:r>
          </w:p>
        </w:tc>
        <w:tc>
          <w:tcPr>
            <w:tcW w:type="dxa" w:w="158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[MEASURE]</w:t>
            </w:r>
          </w:p>
        </w:tc>
        <w:tc>
          <w:tcPr>
            <w:tcW w:type="dxa" w:w="173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[BASELINE]</w:t>
            </w:r>
          </w:p>
        </w:tc>
        <w:tc>
          <w:tcPr>
            <w:tcW w:type="dxa" w:w="144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[TARGET]</w:t>
            </w:r>
          </w:p>
        </w:tc>
        <w:tc>
          <w:tcPr>
            <w:tcW w:type="dxa" w:w="162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[TARGET DATE]</w:t>
            </w:r>
          </w:p>
        </w:tc>
        <w:tc>
          <w:tcPr>
            <w:tcW w:type="dxa" w:w="140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[OWNER ROLE]</w:t>
            </w:r>
          </w:p>
        </w:tc>
      </w:tr>
    </w:tbl>
    <w:p>
      <w:r>
        <w:rPr>
          <w:sz w:val="16"/>
          <w:szCs w:val="16"/>
        </w:rPr>
        <w:t xml:space="preserve"/>
      </w:r>
    </w:p>
    <w:p>
      <w:pPr>
        <w:spacing w:after="130" w:before="60"/>
      </w:pPr>
      <w:r>
        <w:rPr>
          <w:rFonts w:ascii="Calibri" w:cs="Calibri" w:eastAsia="Calibri" w:hAnsi="Calibri"/>
          <w:b w:val="false"/>
          <w:bCs w:val="false"/>
          <w:i w:val="false"/>
          <w:iCs w:val="false"/>
          <w:color w:val="1A1A1A"/>
          <w:sz w:val="20"/>
          <w:szCs w:val="20"/>
        </w:rPr>
        <w:t xml:space="preserve">Progress is reviewed by [REVIEW BODY] [REVIEW FREQUENCY]. This statement is reviewed annually and on any material change to the organisation's structure or operations.</w:t>
      </w:r>
    </w:p>
    <w:p>
      <w:pPr>
        <w:pStyle w:val="Heading1"/>
        <w:pBdr>
          <w:bottom w:val="single" w:color="2B2B2B" w:sz="8"/>
        </w:pBdr>
        <w:spacing w:after="60" w:before="460"/>
      </w:pPr>
      <w:r>
        <w:rPr>
          <w:rFonts w:ascii="Georgia" w:cs="Georgia" w:eastAsia="Georgia" w:hAnsi="Georgia"/>
          <w:color w:val="2B2B2B"/>
          <w:spacing w:val="26"/>
          <w:sz w:val="25"/>
          <w:szCs w:val="25"/>
        </w:rPr>
        <w:t xml:space="preserve">PART THREE — APPROVAL</w:t>
      </w:r>
    </w:p>
    <w:p>
      <w:pPr>
        <w:spacing w:after="130" w:before="60"/>
      </w:pPr>
      <w:r>
        <w:rPr>
          <w:rFonts w:ascii="Calibri" w:cs="Calibri" w:eastAsia="Calibri" w:hAnsi="Calibri"/>
          <w:b w:val="false"/>
          <w:bCs w:val="false"/>
          <w:i w:val="false"/>
          <w:iCs w:val="false"/>
          <w:color w:val="1A1A1A"/>
          <w:sz w:val="20"/>
          <w:szCs w:val="20"/>
        </w:rPr>
        <w:t xml:space="preserve">This statement was approved by the board of directors of [CLIENT LEGAL NAME] on [BOARD APPROVAL DATE] and is signed on its behalf by a director.</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4334"/>
        <w:gridCol w:w="5412"/>
      </w:tblGrid>
      <w:tr>
        <w:trPr>
          <w:tblHeader/>
        </w:trPr>
        <w:tc>
          <w:tcPr>
            <w:tcW w:type="dxa" w:w="4334"/>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FIELD</w:t>
            </w:r>
          </w:p>
        </w:tc>
        <w:tc>
          <w:tcPr>
            <w:tcW w:type="dxa" w:w="5412"/>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ENTRY</w:t>
            </w:r>
          </w:p>
        </w:tc>
      </w:tr>
      <w:tr>
        <w:tc>
          <w:tcPr>
            <w:tcW w:type="dxa" w:w="4334"/>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Signature</w:t>
            </w:r>
          </w:p>
        </w:tc>
        <w:tc>
          <w:tcPr>
            <w:tcW w:type="dxa" w:w="541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[SIGNATURE]</w:t>
            </w:r>
          </w:p>
        </w:tc>
      </w:tr>
      <w:tr>
        <w:tc>
          <w:tcPr>
            <w:tcW w:type="dxa" w:w="4334"/>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Name</w:t>
            </w:r>
          </w:p>
        </w:tc>
        <w:tc>
          <w:tcPr>
            <w:tcW w:type="dxa" w:w="541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[DIRECTOR NAME]</w:t>
            </w:r>
          </w:p>
        </w:tc>
      </w:tr>
      <w:tr>
        <w:tc>
          <w:tcPr>
            <w:tcW w:type="dxa" w:w="4334"/>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Position</w:t>
            </w:r>
          </w:p>
        </w:tc>
        <w:tc>
          <w:tcPr>
            <w:tcW w:type="dxa" w:w="541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Director</w:t>
            </w:r>
          </w:p>
        </w:tc>
      </w:tr>
      <w:tr>
        <w:tc>
          <w:tcPr>
            <w:tcW w:type="dxa" w:w="4334"/>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For and on behalf of</w:t>
            </w:r>
          </w:p>
        </w:tc>
        <w:tc>
          <w:tcPr>
            <w:tcW w:type="dxa" w:w="541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[CLIENT LEGAL NAME]</w:t>
            </w:r>
          </w:p>
        </w:tc>
      </w:tr>
      <w:tr>
        <w:tc>
          <w:tcPr>
            <w:tcW w:type="dxa" w:w="4334"/>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c>
          <w:tcPr>
            <w:tcW w:type="dxa" w:w="541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bl>
    <w:p>
      <w:r>
        <w:rPr>
          <w:sz w:val="16"/>
          <w:szCs w:val="16"/>
        </w:rPr>
        <w:t xml:space="preserve"/>
      </w:r>
    </w:p>
    <w:p>
      <w:pPr>
        <w:pStyle w:val="Heading1"/>
        <w:pBdr>
          <w:bottom w:val="single" w:color="2B2B2B" w:sz="8"/>
        </w:pBdr>
        <w:spacing w:after="60" w:before="460"/>
      </w:pPr>
      <w:r>
        <w:rPr>
          <w:rFonts w:ascii="Georgia" w:cs="Georgia" w:eastAsia="Georgia" w:hAnsi="Georgia"/>
          <w:color w:val="2B2B2B"/>
          <w:spacing w:val="26"/>
          <w:sz w:val="25"/>
          <w:szCs w:val="25"/>
        </w:rPr>
        <w:t xml:space="preserve">ANNEX A — PRE-SUBMISSION VERIFICATION</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6037"/>
        <w:gridCol w:w="2359"/>
        <w:gridCol w:w="1350"/>
      </w:tblGrid>
      <w:tr>
        <w:trPr>
          <w:tblHeader/>
        </w:trPr>
        <w:tc>
          <w:tcPr>
            <w:tcW w:type="dxa" w:w="6037"/>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CHECK</w:t>
            </w:r>
          </w:p>
        </w:tc>
        <w:tc>
          <w:tcPr>
            <w:tcW w:type="dxa" w:w="2359"/>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COMPLETED BY</w:t>
            </w:r>
          </w:p>
        </w:tc>
        <w:tc>
          <w:tcPr>
            <w:tcW w:type="dxa" w:w="1350"/>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DATE</w:t>
            </w:r>
          </w:p>
        </w:tc>
      </w:tr>
      <w:tr>
        <w:tc>
          <w:tcPr>
            <w:tcW w:type="dxa" w:w="603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All variables replaced; no square brackets remain</w:t>
            </w:r>
          </w:p>
        </w:tc>
        <w:tc>
          <w:tcPr>
            <w:tcW w:type="dxa" w:w="23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50"/>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03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Section 54 position stated correctly against actual turnover</w:t>
            </w:r>
          </w:p>
        </w:tc>
        <w:tc>
          <w:tcPr>
            <w:tcW w:type="dxa" w:w="23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50"/>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03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Statement covers the reporting period stated, and is within 12 months of the submission deadline</w:t>
            </w:r>
          </w:p>
        </w:tc>
        <w:tc>
          <w:tcPr>
            <w:tcW w:type="dxa" w:w="23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50"/>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03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Every policy listed as in place actually exists and is current</w:t>
            </w:r>
          </w:p>
        </w:tc>
        <w:tc>
          <w:tcPr>
            <w:tcW w:type="dxa" w:w="23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50"/>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03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Every percentage and count traced to a source record</w:t>
            </w:r>
          </w:p>
        </w:tc>
        <w:tc>
          <w:tcPr>
            <w:tcW w:type="dxa" w:w="23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50"/>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03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Declarations at 2.8 consistent with the SQ Part 2 declaration</w:t>
            </w:r>
          </w:p>
        </w:tc>
        <w:tc>
          <w:tcPr>
            <w:tcW w:type="dxa" w:w="23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50"/>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03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Board approval recorded and statement signed by a director</w:t>
            </w:r>
          </w:p>
        </w:tc>
        <w:tc>
          <w:tcPr>
            <w:tcW w:type="dxa" w:w="23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50"/>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03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Published on the organisation's website and clearly signposted</w:t>
            </w:r>
          </w:p>
        </w:tc>
        <w:tc>
          <w:tcPr>
            <w:tcW w:type="dxa" w:w="23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50"/>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03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Signed copy filed to the Evidence Bank</w:t>
            </w:r>
          </w:p>
        </w:tc>
        <w:tc>
          <w:tcPr>
            <w:tcW w:type="dxa" w:w="23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50"/>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bl>
    <w:p>
      <w:r>
        <w:rPr>
          <w:sz w:val="16"/>
          <w:szCs w:val="16"/>
        </w:rPr>
        <w:t xml:space="preserve"/>
      </w:r>
    </w:p>
    <w:p>
      <w:pPr>
        <w:spacing w:after="130" w:before="60"/>
      </w:pPr>
      <w:r>
        <w:rPr>
          <w:rFonts w:ascii="Calibri" w:cs="Calibri" w:eastAsia="Calibri" w:hAnsi="Calibri"/>
          <w:b/>
          <w:bCs/>
          <w:i w:val="false"/>
          <w:iCs w:val="false"/>
          <w:color w:val="1A1A1A"/>
          <w:sz w:val="20"/>
          <w:szCs w:val="20"/>
        </w:rPr>
        <w:t xml:space="preserve">Document Owner:</w:t>
      </w:r>
      <w:r>
        <w:rPr>
          <w:rFonts w:ascii="Calibri" w:cs="Calibri" w:eastAsia="Calibri" w:hAnsi="Calibri"/>
          <w:b w:val="false"/>
          <w:bCs w:val="false"/>
          <w:i w:val="false"/>
          <w:iCs w:val="false"/>
          <w:color w:val="1A1A1A"/>
          <w:sz w:val="20"/>
          <w:szCs w:val="20"/>
        </w:rPr>
        <w:t xml:space="preserve"> [DOCUMENT OWNER NAME], [DOCUMENT OWNER ROLE] | </w:t>
      </w:r>
      <w:r>
        <w:rPr>
          <w:rFonts w:ascii="Calibri" w:cs="Calibri" w:eastAsia="Calibri" w:hAnsi="Calibri"/>
          <w:b/>
          <w:bCs/>
          <w:i w:val="false"/>
          <w:iCs w:val="false"/>
          <w:color w:val="1A1A1A"/>
          <w:sz w:val="20"/>
          <w:szCs w:val="20"/>
        </w:rPr>
        <w:t xml:space="preserve">Version:</w:t>
      </w:r>
      <w:r>
        <w:rPr>
          <w:rFonts w:ascii="Calibri" w:cs="Calibri" w:eastAsia="Calibri" w:hAnsi="Calibri"/>
          <w:b w:val="false"/>
          <w:bCs w:val="false"/>
          <w:i w:val="false"/>
          <w:iCs w:val="false"/>
          <w:color w:val="1A1A1A"/>
          <w:sz w:val="20"/>
          <w:szCs w:val="20"/>
        </w:rPr>
        <w:t xml:space="preserve"> [VERSION NUMBER] | </w:t>
      </w:r>
      <w:r>
        <w:rPr>
          <w:rFonts w:ascii="Calibri" w:cs="Calibri" w:eastAsia="Calibri" w:hAnsi="Calibri"/>
          <w:b/>
          <w:bCs/>
          <w:i w:val="false"/>
          <w:iCs w:val="false"/>
          <w:color w:val="1A1A1A"/>
          <w:sz w:val="20"/>
          <w:szCs w:val="20"/>
        </w:rPr>
        <w:t xml:space="preserve">Last Reviewed:</w:t>
      </w:r>
      <w:r>
        <w:rPr>
          <w:rFonts w:ascii="Calibri" w:cs="Calibri" w:eastAsia="Calibri" w:hAnsi="Calibri"/>
          <w:b w:val="false"/>
          <w:bCs w:val="false"/>
          <w:i w:val="false"/>
          <w:iCs w:val="false"/>
          <w:color w:val="1A1A1A"/>
          <w:sz w:val="20"/>
          <w:szCs w:val="20"/>
        </w:rPr>
        <w:t xml:space="preserve"> [LAST REVIEWED DATE] | </w:t>
      </w:r>
      <w:r>
        <w:rPr>
          <w:rFonts w:ascii="Calibri" w:cs="Calibri" w:eastAsia="Calibri" w:hAnsi="Calibri"/>
          <w:b/>
          <w:bCs/>
          <w:i w:val="false"/>
          <w:iCs w:val="false"/>
          <w:color w:val="1A1A1A"/>
          <w:sz w:val="20"/>
          <w:szCs w:val="20"/>
        </w:rPr>
        <w:t xml:space="preserve">Next Review Date:</w:t>
      </w:r>
      <w:r>
        <w:rPr>
          <w:rFonts w:ascii="Calibri" w:cs="Calibri" w:eastAsia="Calibri" w:hAnsi="Calibri"/>
          <w:b w:val="false"/>
          <w:bCs w:val="false"/>
          <w:i w:val="false"/>
          <w:iCs w:val="false"/>
          <w:color w:val="1A1A1A"/>
          <w:sz w:val="20"/>
          <w:szCs w:val="20"/>
        </w:rPr>
        <w:t xml:space="preserve"> [NEXT REVIEW DATE]</w:t>
      </w:r>
    </w:p>
    <w:p>
      <w:pPr>
        <w:spacing w:after="130" w:before="60"/>
      </w:pPr>
      <w:r>
        <w:rPr>
          <w:rFonts w:ascii="Calibri" w:cs="Calibri" w:eastAsia="Calibri" w:hAnsi="Calibri"/>
          <w:b/>
          <w:bCs/>
          <w:i w:val="false"/>
          <w:iCs w:val="false"/>
          <w:color w:val="1A1A1A"/>
          <w:sz w:val="20"/>
          <w:szCs w:val="20"/>
        </w:rPr>
        <w:t xml:space="preserve">Prepared by Marhana &amp; Co Consulting Ltd | Reference:</w:t>
      </w:r>
      <w:r>
        <w:rPr>
          <w:rFonts w:ascii="Calibri" w:cs="Calibri" w:eastAsia="Calibri" w:hAnsi="Calibri"/>
          <w:b w:val="false"/>
          <w:bCs w:val="false"/>
          <w:i w:val="false"/>
          <w:iCs w:val="false"/>
          <w:color w:val="1A1A1A"/>
          <w:sz w:val="20"/>
          <w:szCs w:val="20"/>
        </w:rPr>
        <w:t xml:space="preserve"> [ENGAGEMENT REFERENCE] | </w:t>
      </w:r>
      <w:r>
        <w:rPr>
          <w:rFonts w:ascii="Calibri" w:cs="Calibri" w:eastAsia="Calibri" w:hAnsi="Calibri"/>
          <w:b/>
          <w:bCs/>
          <w:i w:val="false"/>
          <w:iCs w:val="false"/>
          <w:color w:val="1A1A1A"/>
          <w:sz w:val="20"/>
          <w:szCs w:val="20"/>
        </w:rPr>
        <w:t xml:space="preserve">Client:</w:t>
      </w:r>
      <w:r>
        <w:rPr>
          <w:rFonts w:ascii="Calibri" w:cs="Calibri" w:eastAsia="Calibri" w:hAnsi="Calibri"/>
          <w:b w:val="false"/>
          <w:bCs w:val="false"/>
          <w:i w:val="false"/>
          <w:iCs w:val="false"/>
          <w:color w:val="1A1A1A"/>
          <w:sz w:val="20"/>
          <w:szCs w:val="20"/>
        </w:rPr>
        <w:t xml:space="preserve"> [CLIENT NAME] | </w:t>
      </w:r>
      <w:r>
        <w:rPr>
          <w:rFonts w:ascii="Calibri" w:cs="Calibri" w:eastAsia="Calibri" w:hAnsi="Calibri"/>
          <w:b/>
          <w:bCs/>
          <w:i w:val="false"/>
          <w:iCs w:val="false"/>
          <w:color w:val="1A1A1A"/>
          <w:sz w:val="20"/>
          <w:szCs w:val="20"/>
        </w:rPr>
        <w:t xml:space="preserve">Classification:</w:t>
      </w:r>
      <w:r>
        <w:rPr>
          <w:rFonts w:ascii="Calibri" w:cs="Calibri" w:eastAsia="Calibri" w:hAnsi="Calibri"/>
          <w:b w:val="false"/>
          <w:bCs w:val="false"/>
          <w:i w:val="false"/>
          <w:iCs w:val="false"/>
          <w:color w:val="1A1A1A"/>
          <w:sz w:val="20"/>
          <w:szCs w:val="20"/>
        </w:rPr>
        <w:t xml:space="preserve"> [CLASSIFICATION]</w:t>
      </w:r>
    </w:p>
    <w:sectPr>
      <w:headerReference w:type="default" r:id="rId7"/>
      <w:footerReference w:type="default" r:id="rId8"/>
      <w:pgSz w:w="11906" w:h="16838" w:orient="portrait"/>
      <w:pgMar w:top="1200" w:right="1080" w:bottom="1080" w:left="108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CC" w:sz="6"/>
      </w:pBdr>
      <w:spacing w:after="60" w:before="0"/>
    </w:pPr>
    <w:r>
      <w:rPr>
        <w:sz w:val="2"/>
        <w:szCs w:val="2"/>
      </w:rPr>
      <w:t xml:space="preserve"/>
    </w:r>
  </w:p>
  <w:p>
    <w:r>
      <w:rPr>
        <w:rFonts w:ascii="Calibri" w:cs="Calibri" w:eastAsia="Calibri" w:hAnsi="Calibri"/>
        <w:b/>
        <w:bCs/>
        <w:color w:val="2B2B2B"/>
        <w:spacing w:val="60"/>
        <w:sz w:val="13"/>
        <w:szCs w:val="13"/>
      </w:rPr>
      <w:t xml:space="preserve">[CLIENT LEGAL NAME]</w:t>
    </w:r>
    <w:r>
      <w:rPr>
        <w:rFonts w:ascii="Calibri" w:cs="Calibri" w:eastAsia="Calibri" w:hAnsi="Calibri"/>
        <w:sz w:val="13"/>
        <w:szCs w:val="13"/>
      </w:rPr>
      <w:t xml:space="preserve">		</w:t>
    </w:r>
    <w:r>
      <w:rPr>
        <w:rFonts w:ascii="Calibri" w:cs="Calibri" w:eastAsia="Calibri" w:hAnsi="Calibri"/>
        <w:color w:val="8A8A8A"/>
        <w:sz w:val="13"/>
        <w:szCs w:val="13"/>
      </w:rPr>
      <w:t xml:space="preserve">Page </w:t>
    </w:r>
    <w:r>
      <w:rPr>
        <w:rFonts w:ascii="Calibri" w:cs="Calibri" w:eastAsia="Calibri" w:hAnsi="Calibri"/>
        <w:b/>
        <w:bCs/>
        <w:color w:val="2B2B2B"/>
        <w:sz w:val="13"/>
        <w:szCs w:val="13"/>
      </w:rPr>
      <w:fldChar w:fldCharType="begin"/>
      <w:instrText xml:space="preserve">PAGE</w:instrText>
      <w:fldChar w:fldCharType="separate"/>
      <w:fldChar w:fldCharType="end"/>
    </w:r>
    <w:r>
      <w:rPr>
        <w:rFonts w:ascii="Calibri" w:cs="Calibri" w:eastAsia="Calibri" w:hAnsi="Calibri"/>
        <w:color w:val="8A8A8A"/>
        <w:sz w:val="13"/>
        <w:szCs w:val="13"/>
      </w:rPr>
      <w:t xml:space="preserve"> of </w:t>
    </w:r>
    <w:r>
      <w:rPr>
        <w:rFonts w:ascii="Calibri" w:cs="Calibri" w:eastAsia="Calibri" w:hAnsi="Calibri"/>
        <w:color w:val="8A8A8A"/>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before="0"/>
    </w:pPr>
    <w:r>
      <w:rPr>
        <w:rFonts w:ascii="Calibri" w:cs="Calibri" w:eastAsia="Calibri" w:hAnsi="Calibri"/>
        <w:b/>
        <w:bCs/>
        <w:color w:val="2B2B2B"/>
        <w:spacing w:val="90"/>
        <w:sz w:val="15"/>
        <w:szCs w:val="15"/>
      </w:rPr>
      <w:t xml:space="preserve">[CLIENT LEGAL NAME]</w:t>
    </w:r>
    <w:r>
      <w:rPr>
        <w:rFonts w:ascii="Calibri" w:cs="Calibri" w:eastAsia="Calibri" w:hAnsi="Calibri"/>
        <w:color w:val="8A8A8A"/>
        <w:sz w:val="14"/>
        <w:szCs w:val="14"/>
      </w:rPr>
      <w:t xml:space="preserve">    —    Modern Slavery and EDI Statement</w:t>
    </w:r>
  </w:p>
  <w:p>
    <w:pPr>
      <w:pBdr>
        <w:bottom w:val="single" w:color="2B2B2B" w:sz="6"/>
      </w:pBdr>
      <w:spacing w:after="0" w:before="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B2B2B"/>
      </w:rPr>
    </w:lvl>
  </w:abstractNum>
  <w:abstractNum w:abstractNumId="3" w15:restartNumberingAfterBreak="0">
    <w:multiLevelType w:val="hybridMultilevel"/>
    <w:lvl w:ilvl="0" w15:tentative="1">
      <w:start w:val="1"/>
      <w:numFmt w:val="decimal"/>
      <w:lvlText w:val="%1."/>
      <w:lvlJc w:val="left"/>
      <w:pPr>
        <w:ind w:left="400" w:hanging="260"/>
      </w:pPr>
      <w:rPr>
        <w:b/>
        <w:bCs/>
        <w:color w:val="2B2B2B"/>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2026-09-10T12:49:39.465Z</dcterms:created>
  <dcterms:modified xsi:type="dcterms:W3CDTF">2026-09-10T12:49:39.465Z</dcterms:modified>
</cp:coreProperties>
</file>

<file path=docProps/custom.xml><?xml version="1.0" encoding="utf-8"?>
<Properties xmlns="http://schemas.openxmlformats.org/officeDocument/2006/custom-properties" xmlns:vt="http://schemas.openxmlformats.org/officeDocument/2006/docPropsVTypes"/>
</file>