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i w:val="false"/>
          <w:iCs w:val="false"/>
          <w:caps w:val="false"/>
          <w:sz w:val="24"/>
          <w:szCs w:val="24"/>
        </w:rPr>
        <w:t xml:space="preserve">PUBLIC-FACING</w:t>
      </w:r>
    </w:p>
    <w:p>
      <w:pPr>
        <w:spacing w:after="60"/>
      </w:pPr>
      <w:r>
        <w:rPr>
          <w:rFonts w:ascii="Times New Roman" w:cs="Times New Roman" w:eastAsia="Times New Roman" w:hAnsi="Times New Roman"/>
          <w:b/>
          <w:bCs/>
          <w:i w:val="false"/>
          <w:iCs w:val="false"/>
          <w:caps w:val="false"/>
          <w:sz w:val="32"/>
          <w:szCs w:val="32"/>
        </w:rPr>
        <w:t xml:space="preserve">EQUALITY, DIVERSITY AND INCLUSION POLICY</w:t>
      </w:r>
    </w:p>
    <w:p>
      <w:pPr>
        <w:spacing w:after="60"/>
      </w:pPr>
      <w:r>
        <w:rPr>
          <w:rFonts w:ascii="Times New Roman" w:cs="Times New Roman" w:eastAsia="Times New Roman" w:hAnsi="Times New Roman"/>
          <w:b/>
          <w:bCs/>
          <w:i w:val="false"/>
          <w:iCs w:val="false"/>
          <w:caps w:val="false"/>
          <w:sz w:val="26"/>
          <w:szCs w:val="26"/>
        </w:rPr>
        <w:t xml:space="preserve">Marhana &amp; Co Consulting Ltd</w:t>
      </w:r>
    </w:p>
    <w:p>
      <w:pPr>
        <w:spacing w:after="240"/>
      </w:pPr>
      <w:r>
        <w:rPr>
          <w:rFonts w:ascii="Times New Roman" w:cs="Times New Roman" w:eastAsia="Times New Roman" w:hAnsi="Times New Roman"/>
          <w:b w:val="false"/>
          <w:bCs w:val="false"/>
          <w:i/>
          <w:iCs/>
          <w:caps w:val="false"/>
          <w:sz w:val="24"/>
          <w:szCs w:val="24"/>
        </w:rPr>
        <w:t xml:space="preserve">The Company's own policy. This is not the client-facing EDI statement template at T2, which is drafted for client organisations.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Field</w:t>
            </w:r>
          </w:p>
        </w:tc>
        <w:tc>
          <w:tcPr>
            <w:tcW w:type="dxa" w:w="6318"/>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Entry</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Document Owner</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[DOCUMENT OWNER NAME], [DOCUMENT OWNER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[VERSION NUMBER]</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Approved by</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[APPROVER NAME], [APPROVER ROLE]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of approval</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 OF APPROVAL]</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Last Reviewed</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[LAST REVIEWED DATE]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Next Review Date</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[NEXT REVIEW DATE]</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Applies to</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Directors, employees, Associates, suppliers, candidates and clients</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Published at</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[WEBSITE ADDRESS]/policies</w:t>
            </w:r>
          </w:p>
        </w:tc>
      </w:tr>
      <w:tr>
        <w:trPr>
          <w:tblHeader w:val="false"/>
        </w:trPr>
        <w:tc>
          <w:tcPr>
            <w:tcW w:type="dxa" w:w="270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Related documents</w:t>
            </w:r>
          </w:p>
        </w:tc>
        <w:tc>
          <w:tcPr>
            <w:tcW w:type="dxa" w:w="6318"/>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Staff Handbook; Associate Agreement cl. 14; Business Conduct Manual; T2 (client template)</w:t>
            </w:r>
          </w:p>
        </w:tc>
      </w:tr>
    </w:tbl>
    <w:p>
      <w:pPr>
        <w:keepNext/>
        <w:spacing w:after="140" w:before="320"/>
      </w:pPr>
      <w:r>
        <w:rPr>
          <w:rFonts w:ascii="Times New Roman" w:cs="Times New Roman" w:eastAsia="Times New Roman" w:hAnsi="Times New Roman"/>
          <w:b/>
          <w:bCs/>
          <w:i w:val="false"/>
          <w:iCs w:val="false"/>
          <w:caps w:val="false"/>
          <w:sz w:val="24"/>
          <w:szCs w:val="24"/>
        </w:rPr>
        <w:t xml:space="preserve">SECTION A — PURPOSE AND STATUS</w:t>
      </w:r>
    </w:p>
    <w:p>
      <w:pPr>
        <w:spacing w:after="140"/>
      </w:pPr>
      <w:r>
        <w:rPr>
          <w:rFonts w:ascii="Times New Roman" w:cs="Times New Roman" w:eastAsia="Times New Roman" w:hAnsi="Times New Roman"/>
          <w:b w:val="false"/>
          <w:bCs w:val="false"/>
          <w:i w:val="false"/>
          <w:iCs w:val="false"/>
          <w:caps w:val="false"/>
          <w:sz w:val="24"/>
          <w:szCs w:val="24"/>
        </w:rPr>
        <w:t xml:space="preserve">A.1  This policy sets out how Marhana &amp; Co Consulting Ltd (the "Company") meets its obligations under the Equality Act 2010 and how it treats the people it employs, engages, recruits and serves.</w:t>
      </w:r>
    </w:p>
    <w:p>
      <w:pPr>
        <w:spacing w:after="140"/>
      </w:pPr>
      <w:r>
        <w:rPr>
          <w:rFonts w:ascii="Times New Roman" w:cs="Times New Roman" w:eastAsia="Times New Roman" w:hAnsi="Times New Roman"/>
          <w:b w:val="false"/>
          <w:bCs w:val="false"/>
          <w:i w:val="false"/>
          <w:iCs w:val="false"/>
          <w:caps w:val="false"/>
          <w:sz w:val="24"/>
          <w:szCs w:val="24"/>
        </w:rPr>
        <w:t xml:space="preserve">A.2  It is a policy about the Company itself. Where the Company drafts equality, diversity and inclusion responses for clients, it does so under the separate client template at T2 and under the service boundaries in the Terms of Engagement.</w:t>
      </w:r>
    </w:p>
    <w:p>
      <w:pPr>
        <w:spacing w:after="140"/>
      </w:pPr>
      <w:r>
        <w:rPr>
          <w:rFonts w:ascii="Times New Roman" w:cs="Times New Roman" w:eastAsia="Times New Roman" w:hAnsi="Times New Roman"/>
          <w:b w:val="false"/>
          <w:bCs w:val="false"/>
          <w:i w:val="false"/>
          <w:iCs w:val="false"/>
          <w:caps w:val="false"/>
          <w:sz w:val="24"/>
          <w:szCs w:val="24"/>
        </w:rPr>
        <w:t xml:space="preserve">A.3  Paragraphs of this policy expressed as commitments of the Company are not contractual terms of employment or engagement and may be amended. The obligations they describe are nevertheless obligations the Company accepts.</w:t>
      </w:r>
    </w:p>
    <w:p>
      <w:pPr>
        <w:spacing w:after="140"/>
      </w:pPr>
      <w:r>
        <w:rPr>
          <w:rFonts w:ascii="Times New Roman" w:cs="Times New Roman" w:eastAsia="Times New Roman" w:hAnsi="Times New Roman"/>
          <w:b w:val="false"/>
          <w:bCs w:val="false"/>
          <w:i w:val="false"/>
          <w:iCs w:val="false"/>
          <w:caps w:val="false"/>
          <w:sz w:val="24"/>
          <w:szCs w:val="24"/>
        </w:rPr>
        <w:t xml:space="preserve">A.4  Breach of this policy by an employee is a disciplinary matter under paragraph 12 of the Staff Handbook. Breach by an Associate is a material breach of the Associate Agreement.</w:t>
      </w:r>
    </w:p>
    <w:p>
      <w:pPr>
        <w:keepNext/>
        <w:spacing w:after="140" w:before="320"/>
      </w:pPr>
      <w:r>
        <w:rPr>
          <w:rFonts w:ascii="Times New Roman" w:cs="Times New Roman" w:eastAsia="Times New Roman" w:hAnsi="Times New Roman"/>
          <w:b/>
          <w:bCs/>
          <w:i w:val="false"/>
          <w:iCs w:val="false"/>
          <w:caps w:val="false"/>
          <w:sz w:val="24"/>
          <w:szCs w:val="24"/>
        </w:rPr>
        <w:t xml:space="preserve">SECTION B — LEGAL FRAMEWORK</w:t>
      </w:r>
    </w:p>
    <w:p>
      <w:pPr>
        <w:spacing w:after="140"/>
      </w:pPr>
      <w:r>
        <w:rPr>
          <w:rFonts w:ascii="Times New Roman" w:cs="Times New Roman" w:eastAsia="Times New Roman" w:hAnsi="Times New Roman"/>
          <w:b w:val="false"/>
          <w:bCs w:val="false"/>
          <w:i w:val="false"/>
          <w:iCs w:val="false"/>
          <w:caps w:val="false"/>
          <w:sz w:val="24"/>
          <w:szCs w:val="24"/>
        </w:rPr>
        <w:t xml:space="preserve">B.1  The Equality Act 2010 protects nine characteristics. The Company does not discriminate on any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Protected characteristic</w:t>
            </w:r>
          </w:p>
        </w:tc>
        <w:tc>
          <w:tcPr>
            <w:tcW w:type="dxa" w:w="451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Protected characteristic</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Age</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Marriage and civil partnership</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Disability</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Pregnancy and maternity</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Gender reassignment</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Race (including colour, nationality, ethnic or national origin)</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Religion or belief (including lack of belief)</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Sex</w:t>
            </w:r>
          </w:p>
        </w:tc>
      </w:tr>
      <w:tr>
        <w:trPr>
          <w:tblHeader w:val="false"/>
        </w:trPr>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Sexual orientation</w:t>
            </w:r>
          </w:p>
        </w:tc>
        <w:tc>
          <w:tcPr>
            <w:tcW w:type="dxa" w:w="451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B.2  The forms of prohibited conduct the Company guards against are direct discrimination (section 13), discrimination arising from disability (section 15), indirect discrimination (section 19), failure to make reasonable adjustments (sections 20 and 21), harassment (section 26) and victimisation (section 27).</w:t>
      </w:r>
    </w:p>
    <w:p>
      <w:pPr>
        <w:spacing w:after="140"/>
      </w:pPr>
      <w:r>
        <w:rPr>
          <w:rFonts w:ascii="Times New Roman" w:cs="Times New Roman" w:eastAsia="Times New Roman" w:hAnsi="Times New Roman"/>
          <w:b w:val="false"/>
          <w:bCs w:val="false"/>
          <w:i w:val="false"/>
          <w:iCs w:val="false"/>
          <w:caps w:val="false"/>
          <w:sz w:val="24"/>
          <w:szCs w:val="24"/>
        </w:rPr>
        <w:t xml:space="preserve">B.3  The public sector equality duty at section 149 is owed by public authorities and by persons exercising public functions. The Company is not such a person. It does, however, work for suppliers bidding to authorities that are subject to the duty, and it drafts responses that authorities evaluate against it.</w:t>
      </w:r>
    </w:p>
    <w:p>
      <w:pPr>
        <w:spacing w:after="140"/>
      </w:pPr>
      <w:r>
        <w:rPr>
          <w:rFonts w:ascii="Times New Roman" w:cs="Times New Roman" w:eastAsia="Times New Roman" w:hAnsi="Times New Roman"/>
          <w:b w:val="false"/>
          <w:bCs w:val="false"/>
          <w:i w:val="false"/>
          <w:iCs w:val="false"/>
          <w:caps w:val="false"/>
          <w:sz w:val="24"/>
          <w:szCs w:val="24"/>
        </w:rPr>
        <w:t xml:space="preserve">B.4  Gender pay gap reporting under the Equality Act 2010 (Gender Pay Gap Information) Regulations 2017 applies to employers with 250 or more employees. The Company is below that threshold and does not publish gender pay gap data. It will do so if it reaches the threshold on the relevant snapshot date.</w:t>
      </w:r>
    </w:p>
    <w:p>
      <w:pPr>
        <w:spacing w:after="140"/>
      </w:pPr>
      <w:r>
        <w:rPr>
          <w:rFonts w:ascii="Times New Roman" w:cs="Times New Roman" w:eastAsia="Times New Roman" w:hAnsi="Times New Roman"/>
          <w:b w:val="false"/>
          <w:bCs w:val="false"/>
          <w:i w:val="false"/>
          <w:iCs w:val="false"/>
          <w:caps w:val="false"/>
          <w:sz w:val="24"/>
          <w:szCs w:val="24"/>
        </w:rPr>
        <w:t xml:space="preserve">B.5  The Worker Protection (Amendment of Equality Act 2010) Act 2023 places a duty on employers to take reasonable steps to prevent sexual harassment of their employees. Section H records the steps taken.</w:t>
      </w:r>
    </w:p>
    <w:p>
      <w:pPr>
        <w:spacing w:after="140"/>
      </w:pPr>
      <w:r>
        <w:rPr>
          <w:rFonts w:ascii="Times New Roman" w:cs="Times New Roman" w:eastAsia="Times New Roman" w:hAnsi="Times New Roman"/>
          <w:b w:val="false"/>
          <w:bCs w:val="false"/>
          <w:i w:val="false"/>
          <w:iCs w:val="false"/>
          <w:caps w:val="false"/>
          <w:sz w:val="24"/>
          <w:szCs w:val="24"/>
        </w:rPr>
        <w:t xml:space="preserve">B.6  The Company also has regard to the Employment Rights Act 1996, the Part-time Workers (Prevention of Less Favourable Treatment) Regulations 2000, the Fixed-term Employees (Prevention of Less Favourable Treatment) Regulations 2002 and the Public Interest Disclosure Act 1998.</w:t>
      </w:r>
    </w:p>
    <w:p>
      <w:pPr>
        <w:keepNext/>
        <w:spacing w:after="140" w:before="320"/>
      </w:pPr>
      <w:r>
        <w:rPr>
          <w:rFonts w:ascii="Times New Roman" w:cs="Times New Roman" w:eastAsia="Times New Roman" w:hAnsi="Times New Roman"/>
          <w:b/>
          <w:bCs/>
          <w:i w:val="false"/>
          <w:iCs w:val="false"/>
          <w:caps w:val="false"/>
          <w:sz w:val="24"/>
          <w:szCs w:val="24"/>
        </w:rPr>
        <w:t xml:space="preserve">SECTION C — THE COMPANY'S SIZE, AND WHAT THAT MEANS</w:t>
      </w:r>
    </w:p>
    <w:p>
      <w:pPr>
        <w:spacing w:after="140"/>
      </w:pPr>
      <w:r>
        <w:rPr>
          <w:rFonts w:ascii="Times New Roman" w:cs="Times New Roman" w:eastAsia="Times New Roman" w:hAnsi="Times New Roman"/>
          <w:b w:val="false"/>
          <w:bCs w:val="false"/>
          <w:i w:val="false"/>
          <w:iCs w:val="false"/>
          <w:caps w:val="false"/>
          <w:sz w:val="24"/>
          <w:szCs w:val="24"/>
        </w:rPr>
        <w:t xml:space="preserve">C.1  The Company is a micro-entity. At the date of this policy it has [NUMBER] directors, [NUMBER] employees and [NUMBER] Associates on its panel.</w:t>
      </w:r>
    </w:p>
    <w:p>
      <w:pPr>
        <w:spacing w:after="140"/>
      </w:pPr>
      <w:r>
        <w:rPr>
          <w:rFonts w:ascii="Times New Roman" w:cs="Times New Roman" w:eastAsia="Times New Roman" w:hAnsi="Times New Roman"/>
          <w:b w:val="false"/>
          <w:bCs w:val="false"/>
          <w:i w:val="false"/>
          <w:iCs w:val="false"/>
          <w:caps w:val="false"/>
          <w:sz w:val="24"/>
          <w:szCs w:val="24"/>
        </w:rPr>
        <w:t xml:space="preserve">C.2  This policy describes what the Company actually does at that size. It deliberately does not claim structures the Company does not operate: there is no EDI committee, no diversity network, no separate HR function and no anonymised applicant tracking system. Where a commitment is aspirational rather than current, it is identified as such.</w:t>
      </w:r>
    </w:p>
    <w:p>
      <w:pPr>
        <w:spacing w:after="140"/>
      </w:pPr>
      <w:r>
        <w:rPr>
          <w:rFonts w:ascii="Times New Roman" w:cs="Times New Roman" w:eastAsia="Times New Roman" w:hAnsi="Times New Roman"/>
          <w:b w:val="false"/>
          <w:bCs w:val="false"/>
          <w:i w:val="false"/>
          <w:iCs w:val="false"/>
          <w:caps w:val="false"/>
          <w:sz w:val="24"/>
          <w:szCs w:val="24"/>
        </w:rPr>
        <w:t xml:space="preserve">C.3  The reason for that discipline is practical as well as ethical. Contracting authorities evaluating a supplier's equality response test claimed arrangements against evidence. A policy describing arrangements that do not exist is a scoring risk and, in a declaration, a misrepresentation.</w:t>
      </w:r>
    </w:p>
    <w:p>
      <w:pPr>
        <w:spacing w:after="140"/>
      </w:pPr>
      <w:r>
        <w:rPr>
          <w:rFonts w:ascii="Times New Roman" w:cs="Times New Roman" w:eastAsia="Times New Roman" w:hAnsi="Times New Roman"/>
          <w:b w:val="false"/>
          <w:bCs w:val="false"/>
          <w:i w:val="false"/>
          <w:iCs w:val="false"/>
          <w:caps w:val="false"/>
          <w:sz w:val="24"/>
          <w:szCs w:val="24"/>
        </w:rPr>
        <w:t xml:space="preserve">C.4  This section is reviewed on every headcount change and the commitments below are scaled accordingly.</w:t>
      </w:r>
    </w:p>
    <w:p>
      <w:pPr>
        <w:keepNext/>
        <w:spacing w:after="140" w:before="320"/>
      </w:pPr>
      <w:r>
        <w:rPr>
          <w:rFonts w:ascii="Times New Roman" w:cs="Times New Roman" w:eastAsia="Times New Roman" w:hAnsi="Times New Roman"/>
          <w:b/>
          <w:bCs/>
          <w:i w:val="false"/>
          <w:iCs w:val="false"/>
          <w:caps w:val="false"/>
          <w:sz w:val="24"/>
          <w:szCs w:val="24"/>
        </w:rPr>
        <w:t xml:space="preserve">SECTION D — RECRUITMENT AND SELECTION</w:t>
      </w:r>
    </w:p>
    <w:p>
      <w:pPr>
        <w:spacing w:after="140"/>
      </w:pPr>
      <w:r>
        <w:rPr>
          <w:rFonts w:ascii="Times New Roman" w:cs="Times New Roman" w:eastAsia="Times New Roman" w:hAnsi="Times New Roman"/>
          <w:b w:val="false"/>
          <w:bCs w:val="false"/>
          <w:i w:val="false"/>
          <w:iCs w:val="false"/>
          <w:caps w:val="false"/>
          <w:sz w:val="24"/>
          <w:szCs w:val="24"/>
        </w:rPr>
        <w:t xml:space="preserve">D.1  Every role is advertised against a written specification setting out the essential and desirable criteria before any candidate is considered.</w:t>
      </w:r>
    </w:p>
    <w:p>
      <w:pPr>
        <w:spacing w:after="140"/>
      </w:pPr>
      <w:r>
        <w:rPr>
          <w:rFonts w:ascii="Times New Roman" w:cs="Times New Roman" w:eastAsia="Times New Roman" w:hAnsi="Times New Roman"/>
          <w:b w:val="false"/>
          <w:bCs w:val="false"/>
          <w:i w:val="false"/>
          <w:iCs w:val="false"/>
          <w:caps w:val="false"/>
          <w:sz w:val="24"/>
          <w:szCs w:val="24"/>
        </w:rPr>
        <w:t xml:space="preserve">D.2  Criteria are limited to what the role genuinely requires. In particular the Company does not use, as a proxy for ability: year of graduation or call; the name or ranking of the institution attended; continuous employment history without gaps; or a requirement for a degree where the competence can be evidenced another way.</w:t>
      </w:r>
    </w:p>
    <w:p>
      <w:pPr>
        <w:spacing w:after="140"/>
      </w:pPr>
      <w:r>
        <w:rPr>
          <w:rFonts w:ascii="Times New Roman" w:cs="Times New Roman" w:eastAsia="Times New Roman" w:hAnsi="Times New Roman"/>
          <w:b w:val="false"/>
          <w:bCs w:val="false"/>
          <w:i w:val="false"/>
          <w:iCs w:val="false"/>
          <w:caps w:val="false"/>
          <w:sz w:val="24"/>
          <w:szCs w:val="24"/>
        </w:rPr>
        <w:t xml:space="preserve">D.3  Selection decisions are recorded against the criteria, with reasons, and retained in accordance with the Retention and Disposal Schedule.</w:t>
      </w:r>
    </w:p>
    <w:p>
      <w:pPr>
        <w:spacing w:after="140"/>
      </w:pPr>
      <w:r>
        <w:rPr>
          <w:rFonts w:ascii="Times New Roman" w:cs="Times New Roman" w:eastAsia="Times New Roman" w:hAnsi="Times New Roman"/>
          <w:b w:val="false"/>
          <w:bCs w:val="false"/>
          <w:i w:val="false"/>
          <w:iCs w:val="false"/>
          <w:caps w:val="false"/>
          <w:sz w:val="24"/>
          <w:szCs w:val="24"/>
        </w:rPr>
        <w:t xml:space="preserve">D.4  Where headcount permits, at least two people assess each candidate. Where it does not, the assessment is recorded in writing and reviewed by a second director before an offer is made.</w:t>
      </w:r>
    </w:p>
    <w:p>
      <w:pPr>
        <w:spacing w:after="140"/>
      </w:pPr>
      <w:r>
        <w:rPr>
          <w:rFonts w:ascii="Times New Roman" w:cs="Times New Roman" w:eastAsia="Times New Roman" w:hAnsi="Times New Roman"/>
          <w:b w:val="false"/>
          <w:bCs w:val="false"/>
          <w:i w:val="false"/>
          <w:iCs w:val="false"/>
          <w:caps w:val="false"/>
          <w:sz w:val="24"/>
          <w:szCs w:val="24"/>
        </w:rPr>
        <w:t xml:space="preserve">D.5  Candidates are told at the point of application that reasonable adjustments are available and how to request them. A request for an adjustment is never a factor in the selection decision and is not recorded on the selection form.</w:t>
      </w:r>
    </w:p>
    <w:p>
      <w:pPr>
        <w:spacing w:after="140"/>
      </w:pPr>
      <w:r>
        <w:rPr>
          <w:rFonts w:ascii="Times New Roman" w:cs="Times New Roman" w:eastAsia="Times New Roman" w:hAnsi="Times New Roman"/>
          <w:b w:val="false"/>
          <w:bCs w:val="false"/>
          <w:i w:val="false"/>
          <w:iCs w:val="false"/>
          <w:caps w:val="false"/>
          <w:sz w:val="24"/>
          <w:szCs w:val="24"/>
        </w:rPr>
        <w:t xml:space="preserve">D.6  The Company does not ask health or disability questions before offer except as permitted by section 60 of the Equality Act 2010.</w:t>
      </w:r>
    </w:p>
    <w:p>
      <w:pPr>
        <w:keepNext/>
        <w:spacing w:after="140" w:before="320"/>
      </w:pPr>
      <w:r>
        <w:rPr>
          <w:rFonts w:ascii="Times New Roman" w:cs="Times New Roman" w:eastAsia="Times New Roman" w:hAnsi="Times New Roman"/>
          <w:b/>
          <w:bCs/>
          <w:i w:val="false"/>
          <w:iCs w:val="false"/>
          <w:caps w:val="false"/>
          <w:sz w:val="24"/>
          <w:szCs w:val="24"/>
        </w:rPr>
        <w:t xml:space="preserve">SECTION E — ASSOCIATES AND SUPPLIERS</w:t>
      </w:r>
    </w:p>
    <w:p>
      <w:pPr>
        <w:spacing w:after="140"/>
      </w:pPr>
      <w:r>
        <w:rPr>
          <w:rFonts w:ascii="Times New Roman" w:cs="Times New Roman" w:eastAsia="Times New Roman" w:hAnsi="Times New Roman"/>
          <w:b w:val="false"/>
          <w:bCs w:val="false"/>
          <w:i w:val="false"/>
          <w:iCs w:val="false"/>
          <w:caps w:val="false"/>
          <w:sz w:val="24"/>
          <w:szCs w:val="24"/>
        </w:rPr>
        <w:t xml:space="preserve">E.1  Associates are selected on competence, availability, sector knowledge and conflict position only.</w:t>
      </w:r>
    </w:p>
    <w:p>
      <w:pPr>
        <w:spacing w:after="140"/>
      </w:pPr>
      <w:r>
        <w:rPr>
          <w:rFonts w:ascii="Times New Roman" w:cs="Times New Roman" w:eastAsia="Times New Roman" w:hAnsi="Times New Roman"/>
          <w:b w:val="false"/>
          <w:bCs w:val="false"/>
          <w:i w:val="false"/>
          <w:iCs w:val="false"/>
          <w:caps w:val="false"/>
          <w:sz w:val="24"/>
          <w:szCs w:val="24"/>
        </w:rPr>
        <w:t xml:space="preserve">E.2  Clause 14 of the Associate Agreement requires Associates to comply with equality legislation in performing engagements for the Company. An Associate who discriminates against, harasses or victimises any person in the course of an engagement commits a material breach.</w:t>
      </w:r>
    </w:p>
    <w:p>
      <w:pPr>
        <w:spacing w:after="140"/>
      </w:pPr>
      <w:r>
        <w:rPr>
          <w:rFonts w:ascii="Times New Roman" w:cs="Times New Roman" w:eastAsia="Times New Roman" w:hAnsi="Times New Roman"/>
          <w:b w:val="false"/>
          <w:bCs w:val="false"/>
          <w:i w:val="false"/>
          <w:iCs w:val="false"/>
          <w:caps w:val="false"/>
          <w:sz w:val="24"/>
          <w:szCs w:val="24"/>
        </w:rPr>
        <w:t xml:space="preserve">E.3  Suppliers are assessed using the Supplier Assessment Checklist at Annex F of the Associate and Supplier Pack, which includes an equality and modern slavery question.</w:t>
      </w:r>
    </w:p>
    <w:p>
      <w:pPr>
        <w:spacing w:after="140"/>
      </w:pPr>
      <w:r>
        <w:rPr>
          <w:rFonts w:ascii="Times New Roman" w:cs="Times New Roman" w:eastAsia="Times New Roman" w:hAnsi="Times New Roman"/>
          <w:b w:val="false"/>
          <w:bCs w:val="false"/>
          <w:i w:val="false"/>
          <w:iCs w:val="false"/>
          <w:caps w:val="false"/>
          <w:sz w:val="24"/>
          <w:szCs w:val="24"/>
        </w:rPr>
        <w:t xml:space="preserve">E.4  The Company will not knowingly contract with a supplier subject to an unlawful act notice under section 21 of the Equality Act 2006 or an unremedied employment tribunal finding of discrimination.</w:t>
      </w:r>
    </w:p>
    <w:p>
      <w:pPr>
        <w:keepNext/>
        <w:spacing w:after="140" w:before="320"/>
      </w:pPr>
      <w:r>
        <w:rPr>
          <w:rFonts w:ascii="Times New Roman" w:cs="Times New Roman" w:eastAsia="Times New Roman" w:hAnsi="Times New Roman"/>
          <w:b/>
          <w:bCs/>
          <w:i w:val="false"/>
          <w:iCs w:val="false"/>
          <w:caps w:val="false"/>
          <w:sz w:val="24"/>
          <w:szCs w:val="24"/>
        </w:rPr>
        <w:t xml:space="preserve">SECTION F — EQUALITY IN THE WORK ITSELF</w:t>
      </w:r>
    </w:p>
    <w:p>
      <w:pPr>
        <w:spacing w:after="140"/>
      </w:pPr>
      <w:r>
        <w:rPr>
          <w:rFonts w:ascii="Times New Roman" w:cs="Times New Roman" w:eastAsia="Times New Roman" w:hAnsi="Times New Roman"/>
          <w:b w:val="false"/>
          <w:bCs w:val="false"/>
          <w:i w:val="false"/>
          <w:iCs w:val="false"/>
          <w:caps w:val="false"/>
          <w:sz w:val="24"/>
          <w:szCs w:val="24"/>
        </w:rPr>
        <w:t xml:space="preserve">F.1  Accessibility of deliverables. Documents produced by the Company use structural headings rather than formatting alone, meaningful table headers, text alternatives for images, sufficient colour contrast, and no reliance on colour as the only means of conveying meaning. Deliverables are supplied in an editable format on request.</w:t>
      </w:r>
    </w:p>
    <w:p>
      <w:pPr>
        <w:spacing w:after="140"/>
      </w:pPr>
      <w:r>
        <w:rPr>
          <w:rFonts w:ascii="Times New Roman" w:cs="Times New Roman" w:eastAsia="Times New Roman" w:hAnsi="Times New Roman"/>
          <w:b w:val="false"/>
          <w:bCs w:val="false"/>
          <w:i w:val="false"/>
          <w:iCs w:val="false"/>
          <w:caps w:val="false"/>
          <w:sz w:val="24"/>
          <w:szCs w:val="24"/>
        </w:rPr>
        <w:t xml:space="preserve">F.2  Plain English. Bid responses are written to be understood by an evaluator reading at speed. Complexity that serves the writer rather than the reader is a defect.</w:t>
      </w:r>
    </w:p>
    <w:p>
      <w:pPr>
        <w:spacing w:after="140"/>
      </w:pPr>
      <w:r>
        <w:rPr>
          <w:rFonts w:ascii="Times New Roman" w:cs="Times New Roman" w:eastAsia="Times New Roman" w:hAnsi="Times New Roman"/>
          <w:b w:val="false"/>
          <w:bCs w:val="false"/>
          <w:i w:val="false"/>
          <w:iCs w:val="false"/>
          <w:caps w:val="false"/>
          <w:sz w:val="24"/>
          <w:szCs w:val="24"/>
        </w:rPr>
        <w:t xml:space="preserve">F.3  Accuracy in client EDI responses. Where the Company drafts an equality response for a client it records only arrangements the client actually operates, and it will not draft a workforce composition statement, a training claim or a policy claim that the client cannot evidence. If the client insists, the Company declines that element of the scope and records the refusal.</w:t>
      </w:r>
    </w:p>
    <w:p>
      <w:pPr>
        <w:spacing w:after="140"/>
      </w:pPr>
      <w:r>
        <w:rPr>
          <w:rFonts w:ascii="Times New Roman" w:cs="Times New Roman" w:eastAsia="Times New Roman" w:hAnsi="Times New Roman"/>
          <w:b w:val="false"/>
          <w:bCs w:val="false"/>
          <w:i w:val="false"/>
          <w:iCs w:val="false"/>
          <w:caps w:val="false"/>
          <w:sz w:val="24"/>
          <w:szCs w:val="24"/>
        </w:rPr>
        <w:t xml:space="preserve">F.4  Client meetings and site visits are arranged so that participants can take part on an equal basis, including by remote attendance, advance circulation of materials and adjustment of format on request.</w:t>
      </w:r>
    </w:p>
    <w:p>
      <w:pPr>
        <w:keepNext/>
        <w:spacing w:after="140" w:before="320"/>
      </w:pPr>
      <w:r>
        <w:rPr>
          <w:rFonts w:ascii="Times New Roman" w:cs="Times New Roman" w:eastAsia="Times New Roman" w:hAnsi="Times New Roman"/>
          <w:b/>
          <w:bCs/>
          <w:i w:val="false"/>
          <w:iCs w:val="false"/>
          <w:caps w:val="false"/>
          <w:sz w:val="24"/>
          <w:szCs w:val="24"/>
        </w:rPr>
        <w:t xml:space="preserve">SECTION G — REASONABLE ADJUSTMENTS</w:t>
      </w:r>
    </w:p>
    <w:p>
      <w:pPr>
        <w:spacing w:after="140"/>
      </w:pPr>
      <w:r>
        <w:rPr>
          <w:rFonts w:ascii="Times New Roman" w:cs="Times New Roman" w:eastAsia="Times New Roman" w:hAnsi="Times New Roman"/>
          <w:b w:val="false"/>
          <w:bCs w:val="false"/>
          <w:i w:val="false"/>
          <w:iCs w:val="false"/>
          <w:caps w:val="false"/>
          <w:sz w:val="24"/>
          <w:szCs w:val="24"/>
        </w:rPr>
        <w:t xml:space="preserve">G.1  A request may be made at any time, in any form, to [EDI LEAD NAME] at [EDI LEAD EMAIL]. It does not need to be labelled as a request for a reasonable adjustment and does not need medical evidence to be considered.</w:t>
      </w:r>
    </w:p>
    <w:p>
      <w:pPr>
        <w:spacing w:after="140"/>
      </w:pPr>
      <w:r>
        <w:rPr>
          <w:rFonts w:ascii="Times New Roman" w:cs="Times New Roman" w:eastAsia="Times New Roman" w:hAnsi="Times New Roman"/>
          <w:b w:val="false"/>
          <w:bCs w:val="false"/>
          <w:i w:val="false"/>
          <w:iCs w:val="false"/>
          <w:caps w:val="false"/>
          <w:sz w:val="24"/>
          <w:szCs w:val="24"/>
        </w:rPr>
        <w:t xml:space="preserve">G.2  The Company responds within 10 working days with a decision or, where more information is needed, with what is needed and when a decision will follow.</w:t>
      </w:r>
    </w:p>
    <w:p>
      <w:pPr>
        <w:spacing w:after="140"/>
      </w:pPr>
      <w:r>
        <w:rPr>
          <w:rFonts w:ascii="Times New Roman" w:cs="Times New Roman" w:eastAsia="Times New Roman" w:hAnsi="Times New Roman"/>
          <w:b w:val="false"/>
          <w:bCs w:val="false"/>
          <w:i w:val="false"/>
          <w:iCs w:val="false"/>
          <w:caps w:val="false"/>
          <w:sz w:val="24"/>
          <w:szCs w:val="24"/>
        </w:rPr>
        <w:t xml:space="preserve">G.3  Where an adjustment is refused, the reason is given in writing and an alternative is offered where one exists.</w:t>
      </w:r>
    </w:p>
    <w:p>
      <w:pPr>
        <w:spacing w:after="140"/>
      </w:pPr>
      <w:r>
        <w:rPr>
          <w:rFonts w:ascii="Times New Roman" w:cs="Times New Roman" w:eastAsia="Times New Roman" w:hAnsi="Times New Roman"/>
          <w:b w:val="false"/>
          <w:bCs w:val="false"/>
          <w:i w:val="false"/>
          <w:iCs w:val="false"/>
          <w:caps w:val="false"/>
          <w:sz w:val="24"/>
          <w:szCs w:val="24"/>
        </w:rPr>
        <w:t xml:space="preserve">G.4  Adjustments are recorded at Annex B, reviewed at least annually, and carried over on a change of role. The individual controls what is recorded and who sees it.</w:t>
      </w:r>
    </w:p>
    <w:p>
      <w:pPr>
        <w:spacing w:after="140"/>
      </w:pPr>
      <w:r>
        <w:rPr>
          <w:rFonts w:ascii="Times New Roman" w:cs="Times New Roman" w:eastAsia="Times New Roman" w:hAnsi="Times New Roman"/>
          <w:b w:val="false"/>
          <w:bCs w:val="false"/>
          <w:i w:val="false"/>
          <w:iCs w:val="false"/>
          <w:caps w:val="false"/>
          <w:sz w:val="24"/>
          <w:szCs w:val="24"/>
        </w:rPr>
        <w:t xml:space="preserve">G.5  Adjustments already in place will be considered for candidates and Associates as well as employees, notwithstanding that the duty in sections 20 and 21 is owed in different terms.</w:t>
      </w:r>
    </w:p>
    <w:p>
      <w:pPr>
        <w:keepNext/>
        <w:spacing w:after="140" w:before="320"/>
      </w:pPr>
      <w:r>
        <w:rPr>
          <w:rFonts w:ascii="Times New Roman" w:cs="Times New Roman" w:eastAsia="Times New Roman" w:hAnsi="Times New Roman"/>
          <w:b/>
          <w:bCs/>
          <w:i w:val="false"/>
          <w:iCs w:val="false"/>
          <w:caps w:val="false"/>
          <w:sz w:val="24"/>
          <w:szCs w:val="24"/>
        </w:rPr>
        <w:t xml:space="preserve">SECTION H — HARASSMENT, BULLYING AND VICTIMISATION</w:t>
      </w:r>
    </w:p>
    <w:p>
      <w:pPr>
        <w:spacing w:after="140"/>
      </w:pPr>
      <w:r>
        <w:rPr>
          <w:rFonts w:ascii="Times New Roman" w:cs="Times New Roman" w:eastAsia="Times New Roman" w:hAnsi="Times New Roman"/>
          <w:b w:val="false"/>
          <w:bCs w:val="false"/>
          <w:i w:val="false"/>
          <w:iCs w:val="false"/>
          <w:caps w:val="false"/>
          <w:sz w:val="24"/>
          <w:szCs w:val="24"/>
        </w:rPr>
        <w:t xml:space="preserve">H.1  The Company prohibits harassment related to any protected characteristic, sexual harassment, and less favourable treatment for rejecting or submitting to such conduct.</w:t>
      </w:r>
    </w:p>
    <w:p>
      <w:pPr>
        <w:spacing w:after="140"/>
      </w:pPr>
      <w:r>
        <w:rPr>
          <w:rFonts w:ascii="Times New Roman" w:cs="Times New Roman" w:eastAsia="Times New Roman" w:hAnsi="Times New Roman"/>
          <w:b w:val="false"/>
          <w:bCs w:val="false"/>
          <w:i w:val="false"/>
          <w:iCs w:val="false"/>
          <w:caps w:val="false"/>
          <w:sz w:val="24"/>
          <w:szCs w:val="24"/>
        </w:rPr>
        <w:t xml:space="preserve">H.2  Preventative steps taken under the Worker Protection (Amendment of Equality Act 2010) Act 2023:</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A risk assessment of the situations in which sexual harassment could occur, including client site visits, evening and remote working, social events and lone working with Associates, recorded at [LOCATION] and reviewed annually.</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A stated position that conduct at a client's premises, at an industry event or in a message sent outside working hours is treated the same as conduct in the workplace.</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Induction on this policy for every person engaged, and a refresher at the interval in the Training and CPD Record.</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A reporting route that does not require the complaint to go through the person complained of.</w:t>
      </w:r>
    </w:p>
    <w:p>
      <w:pPr>
        <w:pStyle w:val="ListParagraph"/>
        <w:numPr>
          <w:ilvl w:val="0"/>
          <w:numId w:val="2"/>
        </w:numPr>
        <w:spacing w:after="90"/>
      </w:pPr>
      <w:r>
        <w:rPr>
          <w:rFonts w:ascii="Times New Roman" w:cs="Times New Roman" w:eastAsia="Times New Roman" w:hAnsi="Times New Roman"/>
          <w:b w:val="false"/>
          <w:bCs w:val="false"/>
          <w:i w:val="false"/>
          <w:iCs w:val="false"/>
          <w:caps w:val="false"/>
          <w:sz w:val="24"/>
          <w:szCs w:val="24"/>
        </w:rPr>
        <w:t xml:space="preserve">A record of every report and its outcome, whether or not the complaint is upheld.</w:t>
      </w:r>
    </w:p>
    <w:p>
      <w:pPr>
        <w:spacing w:after="140"/>
      </w:pPr>
      <w:r>
        <w:rPr>
          <w:rFonts w:ascii="Times New Roman" w:cs="Times New Roman" w:eastAsia="Times New Roman" w:hAnsi="Times New Roman"/>
          <w:b w:val="false"/>
          <w:bCs w:val="false"/>
          <w:i w:val="false"/>
          <w:iCs w:val="false"/>
          <w:caps w:val="false"/>
          <w:sz w:val="24"/>
          <w:szCs w:val="24"/>
        </w:rPr>
        <w:t xml:space="preserve">H.3  Third parties. The Company will act on harassment of its people by a client, a client's staff, a supplier or an Associate. That may include withdrawing from the premises, changing the point of contact or terminating the engagement under the Terms of Engagement. Fee recovery is not a reason to leave someone in an unsafe position.</w:t>
      </w:r>
    </w:p>
    <w:p>
      <w:pPr>
        <w:spacing w:after="140"/>
      </w:pPr>
      <w:r>
        <w:rPr>
          <w:rFonts w:ascii="Times New Roman" w:cs="Times New Roman" w:eastAsia="Times New Roman" w:hAnsi="Times New Roman"/>
          <w:b w:val="false"/>
          <w:bCs w:val="false"/>
          <w:i w:val="false"/>
          <w:iCs w:val="false"/>
          <w:caps w:val="false"/>
          <w:sz w:val="24"/>
          <w:szCs w:val="24"/>
        </w:rPr>
        <w:t xml:space="preserve">H.4  Victimisation of a person who raises a concern, supports another's concern or gives evidence is itself a disciplinary matter, and remains so where the underlying complaint is not upheld, provided it was made in good faith.</w:t>
      </w:r>
    </w:p>
    <w:p>
      <w:pPr>
        <w:keepNext/>
        <w:spacing w:after="140" w:before="320"/>
      </w:pPr>
      <w:r>
        <w:rPr>
          <w:rFonts w:ascii="Times New Roman" w:cs="Times New Roman" w:eastAsia="Times New Roman" w:hAnsi="Times New Roman"/>
          <w:b/>
          <w:bCs/>
          <w:i w:val="false"/>
          <w:iCs w:val="false"/>
          <w:caps w:val="false"/>
          <w:sz w:val="24"/>
          <w:szCs w:val="24"/>
        </w:rPr>
        <w:t xml:space="preserve">SECTION I — RAISING A CONCERN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Route</w:t>
            </w:r>
          </w:p>
        </w:tc>
        <w:tc>
          <w:tcPr>
            <w:tcW w:type="dxa" w:w="6499"/>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How it works</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Informal</w:t>
            </w:r>
          </w:p>
        </w:tc>
        <w:tc>
          <w:tcPr>
            <w:tcW w:type="dxa" w:w="649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Raise it directly with the person, or with [EDI LEAD NAME], who will try to resolve it without a formal process. No record is placed on a personnel file unless the complainant asks.</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Formal grievance</w:t>
            </w:r>
          </w:p>
        </w:tc>
        <w:tc>
          <w:tcPr>
            <w:tcW w:type="dxa" w:w="649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 writing to [EDI LEAD NAME], or to the other director where the concern involves the EDI Lead. Handled under paragraph 12 of the Staff Handbook: acknowledgement within 5 working days, meeting, written outcome, right of appeal.</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Protected disclosure</w:t>
            </w:r>
          </w:p>
        </w:tc>
        <w:tc>
          <w:tcPr>
            <w:tcW w:type="dxa" w:w="649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Where the concern is a qualifying disclosure under the Public Interest Disclosure Act 1998, it is handled under the whistleblowing route in the Business Conduct Manual and the discloser is protected from detriment.</w:t>
            </w:r>
          </w:p>
        </w:tc>
      </w:tr>
      <w:tr>
        <w:trPr>
          <w:tblHeader w:val="false"/>
        </w:trPr>
        <w:tc>
          <w:tcPr>
            <w:tcW w:type="dxa" w:w="2527"/>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External</w:t>
            </w:r>
          </w:p>
        </w:tc>
        <w:tc>
          <w:tcPr>
            <w:tcW w:type="dxa" w:w="6499"/>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Acas early conciliation, and thereafter an employment tribunal claim. The ordinary time limit is three months less one day from the act complained of. Nothing in this policy delays or replaces that route, and a person may go to Acas without raising anything internally first.</w:t>
            </w:r>
          </w:p>
        </w:tc>
      </w:tr>
    </w:tbl>
    <w:p>
      <w:pPr>
        <w:spacing w:after="120"/>
      </w:pPr>
      <w:r>
        <w:rPr>
          <w:rFonts w:ascii="Times New Roman" w:cs="Times New Roman" w:eastAsia="Times New Roman" w:hAnsi="Times New Roman"/>
          <w:b w:val="false"/>
          <w:bCs w:val="false"/>
          <w:i w:val="false"/>
          <w:iCs w:val="false"/>
          <w:caps w:val="false"/>
          <w:sz w:val="24"/>
          <w:szCs w:val="24"/>
        </w:rPr>
        <w:t xml:space="preserve"/>
      </w:r>
    </w:p>
    <w:p>
      <w:pPr>
        <w:spacing w:after="140"/>
      </w:pPr>
      <w:r>
        <w:rPr>
          <w:rFonts w:ascii="Times New Roman" w:cs="Times New Roman" w:eastAsia="Times New Roman" w:hAnsi="Times New Roman"/>
          <w:b w:val="false"/>
          <w:bCs w:val="false"/>
          <w:i w:val="false"/>
          <w:iCs w:val="false"/>
          <w:caps w:val="false"/>
          <w:sz w:val="24"/>
          <w:szCs w:val="24"/>
        </w:rPr>
        <w:t xml:space="preserve">I.1  Concerns are handled confidentially so far as is possible consistent with investigating them. The complainant is told before their identity is disclosed to anyone.</w:t>
      </w:r>
    </w:p>
    <w:p>
      <w:pPr>
        <w:keepNext/>
        <w:spacing w:after="140" w:before="320"/>
      </w:pPr>
      <w:r>
        <w:rPr>
          <w:rFonts w:ascii="Times New Roman" w:cs="Times New Roman" w:eastAsia="Times New Roman" w:hAnsi="Times New Roman"/>
          <w:b/>
          <w:bCs/>
          <w:i w:val="false"/>
          <w:iCs w:val="false"/>
          <w:caps w:val="false"/>
          <w:sz w:val="24"/>
          <w:szCs w:val="24"/>
        </w:rPr>
        <w:t xml:space="preserve">SECTION J — MONITORING AND DATA</w:t>
      </w:r>
    </w:p>
    <w:p>
      <w:pPr>
        <w:spacing w:after="140"/>
      </w:pPr>
      <w:r>
        <w:rPr>
          <w:rFonts w:ascii="Times New Roman" w:cs="Times New Roman" w:eastAsia="Times New Roman" w:hAnsi="Times New Roman"/>
          <w:b w:val="false"/>
          <w:bCs w:val="false"/>
          <w:i w:val="false"/>
          <w:iCs w:val="false"/>
          <w:caps w:val="false"/>
          <w:sz w:val="24"/>
          <w:szCs w:val="24"/>
        </w:rPr>
        <w:t xml:space="preserve">J.1  Diversity monitoring data is special category personal data. Where it is collected the lawful basis is Article 6(1)(f) UK GDPR and the Article 9(2)(b) condition, read with paragraph 8 of Part 1 of Schedule 1 to the Data Protection Act 2018 (equality of opportunity or treatment), and an appropriate policy document is maintained as that paragraph requires.</w:t>
      </w:r>
    </w:p>
    <w:p>
      <w:pPr>
        <w:spacing w:after="140"/>
      </w:pPr>
      <w:r>
        <w:rPr>
          <w:rFonts w:ascii="Times New Roman" w:cs="Times New Roman" w:eastAsia="Times New Roman" w:hAnsi="Times New Roman"/>
          <w:b w:val="false"/>
          <w:bCs w:val="false"/>
          <w:i w:val="false"/>
          <w:iCs w:val="false"/>
          <w:caps w:val="false"/>
          <w:sz w:val="24"/>
          <w:szCs w:val="24"/>
        </w:rPr>
        <w:t xml:space="preserve">J.2  Completion is voluntary, every question carries a "prefer not to say" option, and the data is separated from the selection process.</w:t>
      </w:r>
    </w:p>
    <w:p>
      <w:pPr>
        <w:spacing w:after="140"/>
      </w:pPr>
      <w:r>
        <w:rPr>
          <w:rFonts w:ascii="Times New Roman" w:cs="Times New Roman" w:eastAsia="Times New Roman" w:hAnsi="Times New Roman"/>
          <w:b w:val="false"/>
          <w:bCs w:val="false"/>
          <w:i w:val="false"/>
          <w:iCs w:val="false"/>
          <w:caps w:val="false"/>
          <w:sz w:val="24"/>
          <w:szCs w:val="24"/>
        </w:rPr>
        <w:t xml:space="preserve">J.3  The Company does not currently collect diversity monitoring data on its own workforce, because at [NUMBER] people the results could not be aggregated without identifying individuals, and publishing or analysing them would breach the data minimisation principle. This will be reviewed when headcount reaches [NUMBER].</w:t>
      </w:r>
    </w:p>
    <w:p>
      <w:pPr>
        <w:spacing w:after="140"/>
      </w:pPr>
      <w:r>
        <w:rPr>
          <w:rFonts w:ascii="Times New Roman" w:cs="Times New Roman" w:eastAsia="Times New Roman" w:hAnsi="Times New Roman"/>
          <w:b w:val="false"/>
          <w:bCs w:val="false"/>
          <w:i w:val="false"/>
          <w:iCs w:val="false"/>
          <w:caps w:val="false"/>
          <w:sz w:val="24"/>
          <w:szCs w:val="24"/>
        </w:rPr>
        <w:t xml:space="preserve">J.4  Applicant monitoring data, where collected, is retained in anonymised aggregate only and the identifiable version is deleted in accordance with the Retention and Disposal Schedule.</w:t>
      </w:r>
    </w:p>
    <w:p>
      <w:pPr>
        <w:spacing w:after="140"/>
      </w:pPr>
      <w:r>
        <w:rPr>
          <w:rFonts w:ascii="Times New Roman" w:cs="Times New Roman" w:eastAsia="Times New Roman" w:hAnsi="Times New Roman"/>
          <w:b w:val="false"/>
          <w:bCs w:val="false"/>
          <w:i w:val="false"/>
          <w:iCs w:val="false"/>
          <w:caps w:val="false"/>
          <w:sz w:val="24"/>
          <w:szCs w:val="24"/>
        </w:rPr>
        <w:t xml:space="preserve">J.5  What the Company does monitor at its current size is recorded at Annex A: adjustment requests and outcomes, complaints and outcomes, training completion, and the composition of selection panels.</w:t>
      </w:r>
    </w:p>
    <w:p>
      <w:pPr>
        <w:keepNext/>
        <w:spacing w:after="140" w:before="320"/>
      </w:pPr>
      <w:r>
        <w:rPr>
          <w:rFonts w:ascii="Times New Roman" w:cs="Times New Roman" w:eastAsia="Times New Roman" w:hAnsi="Times New Roman"/>
          <w:b/>
          <w:bCs/>
          <w:i w:val="false"/>
          <w:iCs w:val="false"/>
          <w:caps w:val="false"/>
          <w:sz w:val="24"/>
          <w:szCs w:val="24"/>
        </w:rPr>
        <w:t xml:space="preserve">SECTION K — TRAINING</w:t>
      </w:r>
    </w:p>
    <w:p>
      <w:pPr>
        <w:spacing w:after="140"/>
      </w:pPr>
      <w:r>
        <w:rPr>
          <w:rFonts w:ascii="Times New Roman" w:cs="Times New Roman" w:eastAsia="Times New Roman" w:hAnsi="Times New Roman"/>
          <w:b w:val="false"/>
          <w:bCs w:val="false"/>
          <w:i w:val="false"/>
          <w:iCs w:val="false"/>
          <w:caps w:val="false"/>
          <w:sz w:val="24"/>
          <w:szCs w:val="24"/>
        </w:rPr>
        <w:t xml:space="preserve">K.1  Every director, employee and Associate reads this policy on engagement and confirms they have done so.</w:t>
      </w:r>
    </w:p>
    <w:p>
      <w:pPr>
        <w:spacing w:after="140"/>
      </w:pPr>
      <w:r>
        <w:rPr>
          <w:rFonts w:ascii="Times New Roman" w:cs="Times New Roman" w:eastAsia="Times New Roman" w:hAnsi="Times New Roman"/>
          <w:b w:val="false"/>
          <w:bCs w:val="false"/>
          <w:i w:val="false"/>
          <w:iCs w:val="false"/>
          <w:caps w:val="false"/>
          <w:sz w:val="24"/>
          <w:szCs w:val="24"/>
        </w:rPr>
        <w:t xml:space="preserve">K.2  Equality and harassment awareness training is completed on joining and refreshed at the interval set in the Training and CPD Record.</w:t>
      </w:r>
    </w:p>
    <w:p>
      <w:pPr>
        <w:spacing w:after="140"/>
      </w:pPr>
      <w:r>
        <w:rPr>
          <w:rFonts w:ascii="Times New Roman" w:cs="Times New Roman" w:eastAsia="Times New Roman" w:hAnsi="Times New Roman"/>
          <w:b w:val="false"/>
          <w:bCs w:val="false"/>
          <w:i w:val="false"/>
          <w:iCs w:val="false"/>
          <w:caps w:val="false"/>
          <w:sz w:val="24"/>
          <w:szCs w:val="24"/>
        </w:rPr>
        <w:t xml:space="preserve">K.3  Anyone involved in a selection decision completes fair recruitment training before taking part in one.</w:t>
      </w:r>
    </w:p>
    <w:p>
      <w:pPr>
        <w:spacing w:after="140"/>
      </w:pPr>
      <w:r>
        <w:rPr>
          <w:rFonts w:ascii="Times New Roman" w:cs="Times New Roman" w:eastAsia="Times New Roman" w:hAnsi="Times New Roman"/>
          <w:b w:val="false"/>
          <w:bCs w:val="false"/>
          <w:i w:val="false"/>
          <w:iCs w:val="false"/>
          <w:caps w:val="false"/>
          <w:sz w:val="24"/>
          <w:szCs w:val="24"/>
        </w:rPr>
        <w:t xml:space="preserve">K.4  Completion is recorded in the Training and CPD Record and evidenced to contracting authorities from the Evidence Bank at T10, Section E.</w:t>
      </w:r>
    </w:p>
    <w:p>
      <w:pPr>
        <w:keepNext/>
        <w:spacing w:after="140" w:before="320"/>
      </w:pPr>
      <w:r>
        <w:rPr>
          <w:rFonts w:ascii="Times New Roman" w:cs="Times New Roman" w:eastAsia="Times New Roman" w:hAnsi="Times New Roman"/>
          <w:b/>
          <w:bCs/>
          <w:i w:val="false"/>
          <w:iCs w:val="false"/>
          <w:caps w:val="false"/>
          <w:sz w:val="24"/>
          <w:szCs w:val="24"/>
        </w:rPr>
        <w:t xml:space="preserve">SECTION L — RESPONSIBILITY, REVIEW AND APPROVAL</w:t>
      </w:r>
    </w:p>
    <w:p>
      <w:pPr>
        <w:spacing w:after="140"/>
      </w:pPr>
      <w:r>
        <w:rPr>
          <w:rFonts w:ascii="Times New Roman" w:cs="Times New Roman" w:eastAsia="Times New Roman" w:hAnsi="Times New Roman"/>
          <w:b w:val="false"/>
          <w:bCs w:val="false"/>
          <w:i w:val="false"/>
          <w:iCs w:val="false"/>
          <w:caps w:val="false"/>
          <w:sz w:val="24"/>
          <w:szCs w:val="24"/>
        </w:rPr>
        <w:t xml:space="preserve">L.1  The board is responsible for this policy. [EDI LEAD NAME], [EDI LEAD ROLE] holds day-to-day responsibility for it.</w:t>
      </w:r>
    </w:p>
    <w:p>
      <w:pPr>
        <w:spacing w:after="140"/>
      </w:pPr>
      <w:r>
        <w:rPr>
          <w:rFonts w:ascii="Times New Roman" w:cs="Times New Roman" w:eastAsia="Times New Roman" w:hAnsi="Times New Roman"/>
          <w:b w:val="false"/>
          <w:bCs w:val="false"/>
          <w:i w:val="false"/>
          <w:iCs w:val="false"/>
          <w:caps w:val="false"/>
          <w:sz w:val="24"/>
          <w:szCs w:val="24"/>
        </w:rPr>
        <w:t xml:space="preserve">L.2  It is reviewed at least annually, and additionally on any change in the law, any change of headcount that alters what Section C records, and after any upheld complaint.</w:t>
      </w:r>
    </w:p>
    <w:p>
      <w:pPr>
        <w:spacing w:after="140"/>
      </w:pPr>
      <w:r>
        <w:rPr>
          <w:rFonts w:ascii="Times New Roman" w:cs="Times New Roman" w:eastAsia="Times New Roman" w:hAnsi="Times New Roman"/>
          <w:b w:val="false"/>
          <w:bCs w:val="false"/>
          <w:i w:val="false"/>
          <w:iCs w:val="false"/>
          <w:caps w:val="false"/>
          <w:sz w:val="24"/>
          <w:szCs w:val="24"/>
        </w:rPr>
        <w:t xml:space="preserve">L.3  Review is a standing item at the management review recorded under the Quality Management Policy.</w:t>
      </w:r>
    </w:p>
    <w:p>
      <w:pPr>
        <w:spacing w:after="120"/>
      </w:pPr>
      <w:r>
        <w:rPr>
          <w:rFonts w:ascii="Times New Roman" w:cs="Times New Roman" w:eastAsia="Times New Roman" w:hAnsi="Times New Roman"/>
          <w:b w:val="false"/>
          <w:bCs w:val="false"/>
          <w:i w:val="false"/>
          <w:iCs w:val="false"/>
          <w:caps w:val="false"/>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Approved on behalf of the board</w:t>
            </w:r>
          </w:p>
        </w:tc>
        <w:tc>
          <w:tcPr>
            <w:tcW w:type="dxa" w:w="541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[APPROVER NAME]</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Role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[APPROVER ROLE]</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Signature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541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bl>
    <w:p>
      <w:r>
        <w:br w:type="page"/>
      </w:r>
    </w:p>
    <w:p>
      <w:pPr>
        <w:keepNext/>
        <w:spacing w:after="100" w:before="200"/>
      </w:pPr>
      <w:r>
        <w:rPr>
          <w:rFonts w:ascii="Times New Roman" w:cs="Times New Roman" w:eastAsia="Times New Roman" w:hAnsi="Times New Roman"/>
          <w:b/>
          <w:bCs/>
          <w:i w:val="false"/>
          <w:iCs w:val="false"/>
          <w:caps w:val="false"/>
          <w:sz w:val="24"/>
          <w:szCs w:val="24"/>
        </w:rPr>
        <w:t xml:space="preserve">ANNEX A — EQUALITY MONITORING RECORD</w:t>
      </w:r>
    </w:p>
    <w:p>
      <w:pPr>
        <w:spacing w:after="140"/>
      </w:pPr>
      <w:r>
        <w:rPr>
          <w:rFonts w:ascii="Times New Roman" w:cs="Times New Roman" w:eastAsia="Times New Roman" w:hAnsi="Times New Roman"/>
          <w:b w:val="false"/>
          <w:bCs w:val="false"/>
          <w:i/>
          <w:iCs/>
          <w:caps w:val="false"/>
          <w:sz w:val="24"/>
          <w:szCs w:val="24"/>
        </w:rPr>
        <w:t xml:space="preserve">Completed at each annual review. Figures are reported only where the population is large enough to aggregate without identifying an individual; where it is not, record "not reportable — population below threshold".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805"/>
        <w:gridCol w:w="1805"/>
        <w:gridCol w:w="1806"/>
      </w:tblGrid>
      <w:tr>
        <w:trPr>
          <w:tblHeader/>
        </w:trPr>
        <w:tc>
          <w:tcPr>
            <w:tcW w:type="dxa" w:w="3610"/>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Measure</w:t>
            </w:r>
          </w:p>
        </w:tc>
        <w:tc>
          <w:tcPr>
            <w:tcW w:type="dxa" w:w="180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Period</w:t>
            </w:r>
          </w:p>
        </w:tc>
        <w:tc>
          <w:tcPr>
            <w:tcW w:type="dxa" w:w="180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Result</w:t>
            </w:r>
          </w:p>
        </w:tc>
        <w:tc>
          <w:tcPr>
            <w:tcW w:type="dxa" w:w="180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Action</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Roles advertised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[PERIOD]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w:t>
            </w:r>
          </w:p>
        </w:tc>
        <w:tc>
          <w:tcPr>
            <w:tcW w:type="dxa" w:w="180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Applications received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[PERIOD]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w:t>
            </w:r>
          </w:p>
        </w:tc>
        <w:tc>
          <w:tcPr>
            <w:tcW w:type="dxa" w:w="180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Selection decisions taken by two or more assessors</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[PERIOD]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 of [NUMBER]</w:t>
            </w:r>
          </w:p>
        </w:tc>
        <w:tc>
          <w:tcPr>
            <w:tcW w:type="dxa" w:w="180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Adjustment requests received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[PERIOD]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w:t>
            </w:r>
          </w:p>
        </w:tc>
        <w:tc>
          <w:tcPr>
            <w:tcW w:type="dxa" w:w="180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Adjustment requests granted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[PERIOD]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w:t>
            </w:r>
          </w:p>
        </w:tc>
        <w:tc>
          <w:tcPr>
            <w:tcW w:type="dxa" w:w="180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Adjustment requests answered within 10 working days</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[PERIOD]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 of [NUMBER]</w:t>
            </w:r>
          </w:p>
        </w:tc>
        <w:tc>
          <w:tcPr>
            <w:tcW w:type="dxa" w:w="180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Equality-related complaints received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[PERIOD]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w:t>
            </w:r>
          </w:p>
        </w:tc>
        <w:tc>
          <w:tcPr>
            <w:tcW w:type="dxa" w:w="180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Complaints upheld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[PERIOD]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w:t>
            </w:r>
          </w:p>
        </w:tc>
        <w:tc>
          <w:tcPr>
            <w:tcW w:type="dxa" w:w="180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Equality training completion</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[PERIOD]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[NUMBER] of [NUMBER]</w:t>
            </w:r>
          </w:p>
        </w:tc>
        <w:tc>
          <w:tcPr>
            <w:tcW w:type="dxa" w:w="180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r>
        <w:trPr>
          <w:tblHeader w:val="false"/>
        </w:trPr>
        <w:tc>
          <w:tcPr>
            <w:tcW w:type="dxa" w:w="3610"/>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Sexual harassment risk assessment reviewed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[PERIOD]</w:t>
            </w:r>
          </w:p>
        </w:tc>
        <w:tc>
          <w:tcPr>
            <w:tcW w:type="dxa" w:w="180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 / NO — DATE]</w:t>
            </w:r>
          </w:p>
        </w:tc>
        <w:tc>
          <w:tcPr>
            <w:tcW w:type="dxa" w:w="180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[ACTION]</w:t>
            </w:r>
          </w:p>
        </w:tc>
      </w:tr>
    </w:tbl>
    <w:p>
      <w:pPr>
        <w:spacing w:after="240"/>
      </w:pPr>
      <w:r>
        <w:rPr>
          <w:rFonts w:ascii="Times New Roman" w:cs="Times New Roman" w:eastAsia="Times New Roman" w:hAnsi="Times New Roman"/>
          <w:b w:val="false"/>
          <w:bCs w:val="false"/>
          <w:i w:val="false"/>
          <w:iCs w:val="false"/>
          <w:caps w:val="false"/>
          <w:sz w:val="24"/>
          <w:szCs w:val="24"/>
        </w:rPr>
        <w:t xml:space="preserve"/>
      </w:r>
    </w:p>
    <w:p>
      <w:pPr>
        <w:keepNext/>
        <w:spacing w:after="100" w:before="200"/>
      </w:pPr>
      <w:r>
        <w:rPr>
          <w:rFonts w:ascii="Times New Roman" w:cs="Times New Roman" w:eastAsia="Times New Roman" w:hAnsi="Times New Roman"/>
          <w:b/>
          <w:bCs/>
          <w:i w:val="false"/>
          <w:iCs w:val="false"/>
          <w:caps w:val="false"/>
          <w:sz w:val="24"/>
          <w:szCs w:val="24"/>
        </w:rPr>
        <w:t xml:space="preserve">ANNEX B — REASONABLE ADJUSTMENTS LOG</w:t>
      </w:r>
    </w:p>
    <w:p>
      <w:pPr>
        <w:spacing w:after="140"/>
      </w:pPr>
      <w:r>
        <w:rPr>
          <w:rFonts w:ascii="Times New Roman" w:cs="Times New Roman" w:eastAsia="Times New Roman" w:hAnsi="Times New Roman"/>
          <w:b w:val="false"/>
          <w:bCs w:val="false"/>
          <w:i/>
          <w:iCs/>
          <w:caps w:val="false"/>
          <w:sz w:val="24"/>
          <w:szCs w:val="24"/>
        </w:rPr>
        <w:t xml:space="preserve">Held confidentially by the EDI Lead. Access is restricted. The individual decides who else is told.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1625"/>
        <w:gridCol w:w="2166"/>
        <w:gridCol w:w="1444"/>
        <w:gridCol w:w="1264"/>
        <w:gridCol w:w="1263"/>
      </w:tblGrid>
      <w:tr>
        <w:trPr>
          <w:tblHeader/>
        </w:trPr>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Date of request</w:t>
            </w:r>
          </w:p>
        </w:tc>
        <w:tc>
          <w:tcPr>
            <w:tcW w:type="dxa" w:w="162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Person</w:t>
            </w:r>
          </w:p>
        </w:tc>
        <w:tc>
          <w:tcPr>
            <w:tcW w:type="dxa" w:w="216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Adjustment requested</w:t>
            </w:r>
          </w:p>
        </w:tc>
        <w:tc>
          <w:tcPr>
            <w:tcW w:type="dxa" w:w="144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Decision and date</w:t>
            </w:r>
          </w:p>
        </w:tc>
        <w:tc>
          <w:tcPr>
            <w:tcW w:type="dxa" w:w="126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Review date</w:t>
            </w:r>
          </w:p>
        </w:tc>
        <w:tc>
          <w:tcPr>
            <w:tcW w:type="dxa" w:w="126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Still required</w:t>
            </w:r>
          </w:p>
        </w:tc>
      </w:tr>
      <w:tr>
        <w:trPr>
          <w:tblHeader w:val="false"/>
        </w:trPr>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w:t>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[ADJUSTMENT]</w:t>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[GRANTED / REFUSED — DATE]</w:t>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[YES / NO]</w:t>
            </w:r>
          </w:p>
        </w:tc>
      </w:tr>
      <w:tr>
        <w:trPr>
          <w:tblHeader w:val="false"/>
        </w:trPr>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r>
        <w:trPr>
          <w:tblHeader w:val="false"/>
        </w:trPr>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216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44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26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bl>
    <w:p>
      <w:pPr>
        <w:spacing w:after="240"/>
      </w:pPr>
      <w:r>
        <w:rPr>
          <w:rFonts w:ascii="Times New Roman" w:cs="Times New Roman" w:eastAsia="Times New Roman" w:hAnsi="Times New Roman"/>
          <w:b w:val="false"/>
          <w:bCs w:val="false"/>
          <w:i w:val="false"/>
          <w:iCs w:val="false"/>
          <w:caps w:val="false"/>
          <w:sz w:val="24"/>
          <w:szCs w:val="24"/>
        </w:rPr>
        <w:t xml:space="preserve"/>
      </w:r>
    </w:p>
    <w:p>
      <w:pPr>
        <w:keepNext/>
        <w:spacing w:after="100" w:before="200"/>
      </w:pPr>
      <w:r>
        <w:rPr>
          <w:rFonts w:ascii="Times New Roman" w:cs="Times New Roman" w:eastAsia="Times New Roman" w:hAnsi="Times New Roman"/>
          <w:b/>
          <w:bCs/>
          <w:i w:val="false"/>
          <w:iCs w:val="false"/>
          <w:caps w:val="false"/>
          <w:sz w:val="24"/>
          <w:szCs w:val="24"/>
        </w:rPr>
        <w:t xml:space="preserve">ANNEX C — EQUALITY COMPLAINTS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1534"/>
        <w:gridCol w:w="1986"/>
        <w:gridCol w:w="1625"/>
        <w:gridCol w:w="1354"/>
        <w:gridCol w:w="1354"/>
      </w:tblGrid>
      <w:tr>
        <w:trPr>
          <w:tblHeader/>
        </w:trPr>
        <w:tc>
          <w:tcPr>
            <w:tcW w:type="dxa" w:w="1173"/>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Date received</w:t>
            </w:r>
          </w:p>
        </w:tc>
        <w:tc>
          <w:tcPr>
            <w:tcW w:type="dxa" w:w="153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Raised by</w:t>
            </w:r>
          </w:p>
        </w:tc>
        <w:tc>
          <w:tcPr>
            <w:tcW w:type="dxa" w:w="1986"/>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Nature of complaint</w:t>
            </w:r>
          </w:p>
        </w:tc>
        <w:tc>
          <w:tcPr>
            <w:tcW w:type="dxa" w:w="1625"/>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Route used</w:t>
            </w:r>
          </w:p>
        </w:tc>
        <w:tc>
          <w:tcPr>
            <w:tcW w:type="dxa" w:w="135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Outcome</w:t>
            </w:r>
          </w:p>
        </w:tc>
        <w:tc>
          <w:tcPr>
            <w:tcW w:type="dxa" w:w="1354"/>
            <w:shd w:fill="E8E8E8" w:color="auto" w:val="clear"/>
            <w:tcMar>
              <w:top w:type="dxa" w:w="60"/>
              <w:left w:type="dxa" w:w="100"/>
              <w:bottom w:type="dxa" w:w="60"/>
              <w:right w:type="dxa" w:w="100"/>
            </w:tcMar>
          </w:tcPr>
          <w:p>
            <w:pPr>
              <w:spacing w:after="0"/>
            </w:pPr>
            <w:r>
              <w:rPr>
                <w:rFonts w:ascii="Times New Roman" w:cs="Times New Roman" w:eastAsia="Times New Roman" w:hAnsi="Times New Roman"/>
                <w:b/>
                <w:bCs/>
                <w:i w:val="false"/>
                <w:iCs w:val="false"/>
                <w:caps w:val="false"/>
                <w:sz w:val="24"/>
                <w:szCs w:val="24"/>
              </w:rPr>
              <w:t xml:space="preserve">Date closed</w:t>
            </w:r>
          </w:p>
        </w:tc>
      </w:tr>
      <w:tr>
        <w:trPr>
          <w:tblHeader w:val="false"/>
        </w:trPr>
        <w:tc>
          <w:tcPr>
            <w:tcW w:type="dxa" w:w="117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[NAME / ANONYMOUS]</w:t>
            </w:r>
          </w:p>
        </w:tc>
        <w:tc>
          <w:tcPr>
            <w:tcW w:type="dxa" w:w="198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[NATURE]</w:t>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[INFORMAL / GRIEVANCE / DISCLOSURE]</w:t>
            </w:r>
          </w:p>
        </w:tc>
        <w:tc>
          <w:tcPr>
            <w:tcW w:type="dxa" w:w="135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[UPHELD / NOT UPHELD / WITHDRAWN]</w:t>
            </w:r>
          </w:p>
        </w:tc>
        <w:tc>
          <w:tcPr>
            <w:tcW w:type="dxa" w:w="135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[DATE]</w:t>
            </w:r>
          </w:p>
        </w:tc>
      </w:tr>
      <w:tr>
        <w:trPr>
          <w:tblHeader w:val="false"/>
        </w:trPr>
        <w:tc>
          <w:tcPr>
            <w:tcW w:type="dxa" w:w="1173"/>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53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986"/>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625"/>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35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c>
          <w:tcPr>
            <w:tcW w:type="dxa" w:w="1354"/>
            <w:tcMar>
              <w:top w:type="dxa" w:w="60"/>
              <w:left w:type="dxa" w:w="100"/>
              <w:bottom w:type="dxa" w:w="60"/>
              <w:right w:type="dxa" w:w="100"/>
            </w:tcMar>
          </w:tcPr>
          <w:p>
            <w:pPr>
              <w:spacing w:after="0"/>
            </w:pPr>
            <w:r>
              <w:rPr>
                <w:rFonts w:ascii="Times New Roman" w:cs="Times New Roman" w:eastAsia="Times New Roman" w:hAnsi="Times New Roman"/>
                <w:b w:val="false"/>
                <w:bCs w:val="false"/>
                <w:i w:val="false"/>
                <w:iCs w:val="false"/>
                <w:caps w:val="false"/>
                <w:sz w:val="24"/>
                <w:szCs w:val="24"/>
              </w:rPr>
              <w:t xml:space="preserve"/>
            </w:r>
          </w:p>
        </w:tc>
      </w:tr>
    </w:tbl>
    <w:p>
      <w:pPr>
        <w:pBdr>
          <w:bottom w:val="single" w:color="000000" w:sz="6" w:space="1"/>
        </w:pBdr>
        <w:spacing w:after="200" w:before="160"/>
      </w:pPr>
      <w:r>
        <w:rPr>
          <w:rFonts w:ascii="Times New Roman" w:cs="Times New Roman" w:eastAsia="Times New Roman" w:hAnsi="Times New Roman"/>
          <w:b w:val="false"/>
          <w:bCs w:val="false"/>
          <w:i w:val="false"/>
          <w:iCs w:val="false"/>
          <w:caps w:val="false"/>
          <w:sz w:val="24"/>
          <w:szCs w:val="24"/>
        </w:rPr>
        <w:t xml:space="preserve"/>
      </w:r>
    </w:p>
    <w:p>
      <w:pPr>
        <w:spacing w:after="60"/>
      </w:pPr>
      <w:r>
        <w:rPr>
          <w:rFonts w:ascii="Times New Roman" w:cs="Times New Roman" w:eastAsia="Times New Roman" w:hAnsi="Times New Roman"/>
          <w:b/>
          <w:bCs/>
          <w:i w:val="false"/>
          <w:iCs w:val="false"/>
          <w:caps w:val="false"/>
          <w:sz w:val="24"/>
          <w:szCs w:val="24"/>
        </w:rPr>
        <w:t xml:space="preserve">Document Owner: </w:t>
      </w:r>
      <w:r>
        <w:rPr>
          <w:rFonts w:ascii="Times New Roman" w:cs="Times New Roman" w:eastAsia="Times New Roman" w:hAnsi="Times New Roman"/>
          <w:b w:val="false"/>
          <w:bCs w:val="false"/>
          <w:i w:val="false"/>
          <w:iCs w:val="false"/>
          <w:caps w:val="false"/>
          <w:sz w:val="24"/>
          <w:szCs w:val="24"/>
        </w:rPr>
        <w:t xml:space="preserve">[DOCUMENT OWNER NAME], [DOCUMENT OWNER ROLE] | </w:t>
      </w:r>
      <w:r>
        <w:rPr>
          <w:rFonts w:ascii="Times New Roman" w:cs="Times New Roman" w:eastAsia="Times New Roman" w:hAnsi="Times New Roman"/>
          <w:b/>
          <w:bCs/>
          <w:i w:val="false"/>
          <w:iCs w:val="false"/>
          <w:caps w:val="false"/>
          <w:sz w:val="24"/>
          <w:szCs w:val="24"/>
        </w:rPr>
        <w:t xml:space="preserve">Version: </w:t>
      </w:r>
      <w:r>
        <w:rPr>
          <w:rFonts w:ascii="Times New Roman" w:cs="Times New Roman" w:eastAsia="Times New Roman" w:hAnsi="Times New Roman"/>
          <w:b w:val="false"/>
          <w:bCs w:val="false"/>
          <w:i w:val="false"/>
          <w:iCs w:val="false"/>
          <w:caps w:val="false"/>
          <w:sz w:val="24"/>
          <w:szCs w:val="24"/>
        </w:rPr>
        <w:t xml:space="preserve">[VERSION NUMBER] | </w:t>
      </w:r>
      <w:r>
        <w:rPr>
          <w:rFonts w:ascii="Times New Roman" w:cs="Times New Roman" w:eastAsia="Times New Roman" w:hAnsi="Times New Roman"/>
          <w:b/>
          <w:bCs/>
          <w:i w:val="false"/>
          <w:iCs w:val="false"/>
          <w:caps w:val="false"/>
          <w:sz w:val="24"/>
          <w:szCs w:val="24"/>
        </w:rPr>
        <w:t xml:space="preserve">Last Reviewed: </w:t>
      </w:r>
      <w:r>
        <w:rPr>
          <w:rFonts w:ascii="Times New Roman" w:cs="Times New Roman" w:eastAsia="Times New Roman" w:hAnsi="Times New Roman"/>
          <w:b w:val="false"/>
          <w:bCs w:val="false"/>
          <w:i w:val="false"/>
          <w:iCs w:val="false"/>
          <w:caps w:val="false"/>
          <w:sz w:val="24"/>
          <w:szCs w:val="24"/>
        </w:rPr>
        <w:t xml:space="preserve">[LAST REVIEWED DATE] | </w:t>
      </w:r>
      <w:r>
        <w:rPr>
          <w:rFonts w:ascii="Times New Roman" w:cs="Times New Roman" w:eastAsia="Times New Roman" w:hAnsi="Times New Roman"/>
          <w:b/>
          <w:bCs/>
          <w:i w:val="false"/>
          <w:iCs w:val="false"/>
          <w:caps w:val="false"/>
          <w:sz w:val="24"/>
          <w:szCs w:val="24"/>
        </w:rPr>
        <w:t xml:space="preserve">Next Review Date: </w:t>
      </w:r>
      <w:r>
        <w:rPr>
          <w:rFonts w:ascii="Times New Roman" w:cs="Times New Roman" w:eastAsia="Times New Roman" w:hAnsi="Times New Roman"/>
          <w:b w:val="false"/>
          <w:bCs w:val="false"/>
          <w:i w:val="false"/>
          <w:iCs w:val="false"/>
          <w:caps w:val="false"/>
          <w:sz w:val="24"/>
          <w:szCs w:val="24"/>
        </w:rPr>
        <w:t xml:space="preserve">[NEXT REVIEW DATE]</w:t>
      </w:r>
    </w:p>
    <w:p>
      <w:r>
        <w:rPr>
          <w:rFonts w:ascii="Times New Roman" w:cs="Times New Roman" w:eastAsia="Times New Roman" w:hAnsi="Times New Roman"/>
          <w:b/>
          <w:bCs/>
          <w:i w:val="false"/>
          <w:iCs w:val="false"/>
          <w:caps w:val="false"/>
          <w:sz w:val="24"/>
          <w:szCs w:val="24"/>
        </w:rPr>
        <w:t xml:space="preserve">Marhana &amp; Co Consulting Ltd </w:t>
      </w:r>
      <w:r>
        <w:rPr>
          <w:rFonts w:ascii="Times New Roman" w:cs="Times New Roman" w:eastAsia="Times New Roman" w:hAnsi="Times New Roman"/>
          <w:b w:val="false"/>
          <w:bCs w:val="false"/>
          <w:i w:val="false"/>
          <w:iCs w:val="false"/>
          <w:caps w:val="false"/>
          <w:sz w:val="24"/>
          <w:szCs w:val="24"/>
        </w:rPr>
        <w:t xml:space="preserve">| Company number [COMPANY REGISTRATION NUMBER] | Registered office [REGISTERED OFFICE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lowerLetter"/>
      <w:lvlText w:val="(%2)"/>
      <w:lvlJc w:val="left"/>
      <w:pPr>
        <w:ind w:left="9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Marhana &amp; Co Consulting Ltd</dc:creator>
  <cp:lastModifiedBy>Un-named</cp:lastModifiedBy>
  <cp:revision>1</cp:revision>
  <dcterms:created xsi:type="dcterms:W3CDTF">2026-09-11T10:44:07.587Z</dcterms:created>
  <dcterms:modified xsi:type="dcterms:W3CDTF">2026-09-11T10:44:07.596Z</dcterms:modified>
</cp:coreProperties>
</file>

<file path=docProps/custom.xml><?xml version="1.0" encoding="utf-8"?>
<Properties xmlns="http://schemas.openxmlformats.org/officeDocument/2006/custom-properties" xmlns:vt="http://schemas.openxmlformats.org/officeDocument/2006/docPropsVTypes"/>
</file>