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PUBLIC-FACING</w:t>
      </w:r>
    </w:p>
    <w:p>
      <w:pPr>
        <w:spacing w:after="60"/>
      </w:pPr>
      <w:r>
        <w:rPr>
          <w:rFonts w:ascii="Times New Roman" w:cs="Times New Roman" w:eastAsia="Times New Roman" w:hAnsi="Times New Roman"/>
          <w:b/>
          <w:bCs/>
          <w:i w:val="false"/>
          <w:iCs w:val="false"/>
          <w:caps w:val="false"/>
          <w:sz w:val="32"/>
          <w:szCs w:val="32"/>
        </w:rPr>
        <w:t xml:space="preserve">ENVIRONMENTAL AND SUSTAINABILITY POLICY</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The Company's own policy. This is not the client Carbon Reduction Plan template at T19, which is drafted for client organisations under PPN 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 Company operations, directors, employees, Associates and suppliers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Published at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[WEBSITE ADDRESS]/policies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Certification held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None — see Section H</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T19 Carbon Reduction Plan (client template); Retention and Disposal Schedule; Associate and Supplier Pack</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PURPOSE AND SCOPE</w:t>
      </w:r>
    </w:p>
    <w:p>
      <w:pPr>
        <w:spacing w:after="140"/>
      </w:pPr>
      <w:r>
        <w:rPr>
          <w:rFonts w:ascii="Times New Roman" w:cs="Times New Roman" w:eastAsia="Times New Roman" w:hAnsi="Times New Roman"/>
          <w:b w:val="false"/>
          <w:bCs w:val="false"/>
          <w:i w:val="false"/>
          <w:iCs w:val="false"/>
          <w:caps w:val="false"/>
          <w:sz w:val="24"/>
          <w:szCs w:val="24"/>
        </w:rPr>
        <w:t xml:space="preserve">A.1  This policy states how Marhana &amp; Co Consulting Ltd (the "Company") manages its own environmental impact. It covers all of the Company's operations, wherever performed, including work carried out from home workplaces and at client premises.</w:t>
      </w:r>
    </w:p>
    <w:p>
      <w:pPr>
        <w:spacing w:after="140"/>
      </w:pPr>
      <w:r>
        <w:rPr>
          <w:rFonts w:ascii="Times New Roman" w:cs="Times New Roman" w:eastAsia="Times New Roman" w:hAnsi="Times New Roman"/>
          <w:b w:val="false"/>
          <w:bCs w:val="false"/>
          <w:i w:val="false"/>
          <w:iCs w:val="false"/>
          <w:caps w:val="false"/>
          <w:sz w:val="24"/>
          <w:szCs w:val="24"/>
        </w:rPr>
        <w:t xml:space="preserve">A.2  It is aligned to the principles of ISO 14001:2015 — context, leadership, planning, support, operation, evaluation and improvement — but the Company is not certified to that standard and does not represent itself as certified.</w:t>
      </w:r>
    </w:p>
    <w:p>
      <w:pPr>
        <w:spacing w:after="140"/>
      </w:pPr>
      <w:r>
        <w:rPr>
          <w:rFonts w:ascii="Times New Roman" w:cs="Times New Roman" w:eastAsia="Times New Roman" w:hAnsi="Times New Roman"/>
          <w:b w:val="false"/>
          <w:bCs w:val="false"/>
          <w:i w:val="false"/>
          <w:iCs w:val="false"/>
          <w:caps w:val="false"/>
          <w:sz w:val="24"/>
          <w:szCs w:val="24"/>
        </w:rPr>
        <w:t xml:space="preserve">A.3  Where the Company drafts a Carbon Reduction Plan, an environmental management response or a social value commitment for a client, it does so under the separate templates and service boundaries recorded in the Terms of Engagement. In particular, the Company structures and drafts Carbon Reduction Plans; it does not calculate greenhouse gas emissions. Those figures are supplied by the client or by a carbon consultant instructed by the client.</w:t>
      </w:r>
    </w:p>
    <w:p>
      <w:pPr>
        <w:keepNext/>
        <w:spacing w:after="140" w:before="320"/>
      </w:pPr>
      <w:r>
        <w:rPr>
          <w:rFonts w:ascii="Times New Roman" w:cs="Times New Roman" w:eastAsia="Times New Roman" w:hAnsi="Times New Roman"/>
          <w:b/>
          <w:bCs/>
          <w:i w:val="false"/>
          <w:iCs w:val="false"/>
          <w:caps w:val="false"/>
          <w:sz w:val="24"/>
          <w:szCs w:val="24"/>
        </w:rPr>
        <w:t xml:space="preserve">SECTION B — OUR ENVIRONMENTAL CONTEXT</w:t>
      </w:r>
    </w:p>
    <w:p>
      <w:pPr>
        <w:spacing w:after="140"/>
      </w:pPr>
      <w:r>
        <w:rPr>
          <w:rFonts w:ascii="Times New Roman" w:cs="Times New Roman" w:eastAsia="Times New Roman" w:hAnsi="Times New Roman"/>
          <w:b w:val="false"/>
          <w:bCs w:val="false"/>
          <w:i w:val="false"/>
          <w:iCs w:val="false"/>
          <w:caps w:val="false"/>
          <w:sz w:val="24"/>
          <w:szCs w:val="24"/>
        </w:rPr>
        <w:t xml:space="preserve">B.1  The Company is a remote-first professional services micro-entity. It holds no manufacturing plant, operates no vehicle fleet, holds no waste carrier licence and occupies no dedicated commercial premises.</w:t>
      </w:r>
    </w:p>
    <w:p>
      <w:pPr>
        <w:spacing w:after="140"/>
      </w:pPr>
      <w:r>
        <w:rPr>
          <w:rFonts w:ascii="Times New Roman" w:cs="Times New Roman" w:eastAsia="Times New Roman" w:hAnsi="Times New Roman"/>
          <w:b w:val="false"/>
          <w:bCs w:val="false"/>
          <w:i w:val="false"/>
          <w:iCs w:val="false"/>
          <w:caps w:val="false"/>
          <w:sz w:val="24"/>
          <w:szCs w:val="24"/>
        </w:rPr>
        <w:t xml:space="preserve">B.2  Its material environmental aspects, in descending order of significance,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430"/>
        <w:gridCol w:w="3069"/>
      </w:tblGrid>
      <w:tr>
        <w:trPr>
          <w:tblHeader/>
        </w:trPr>
        <w:tc>
          <w:tcPr>
            <w:tcW w:type="dxa" w:w="252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Aspect</w:t>
            </w:r>
          </w:p>
        </w:tc>
        <w:tc>
          <w:tcPr>
            <w:tcW w:type="dxa" w:w="343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Impact</w:t>
            </w:r>
          </w:p>
        </w:tc>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How it is controlled</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Purchased electricity at home workplaces</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2 emissions from grid electricity used by laptops, monitors, lighting and heating attributable to working hours</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Efficient equipment, power management settings, and the measurement method at Annex A</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Business travel</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3 emissions from rail, car and, rarely, air travel to client premises and industry events</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Remote-first meeting default; rail preferred over car and over domestic air; travel recorded per journey</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IT hardware lifecycle</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Embodied carbon in manufacture; WEEE at end of life</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Minimum [4] year replacement cycle; refurbished equipment considered first; disposal under Section D.4</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Cloud services and data storage</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3 emissions from data centre energy</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Provider selection weighted for published renewable energy commitments; storage reduced by applying the Retention and Disposal Schedule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Paper and printing</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Resource use and waste</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Digital-first: submissions, deliverables and contracts are electronic by default. Printing only where a contracting authority requires a hard copy</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Supply chain</w:t>
            </w:r>
          </w:p>
        </w:tc>
        <w:tc>
          <w:tcPr>
            <w:tcW w:type="dxa" w:w="343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Indirect impacts of Associates and suppliers</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Supplier Assessment Checklist at Annex F of the Associate and Supplier Pack</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B.3  The Company's largest environmental effect is not its own footprint, which is small, but the content of the bids it writes. That is addressed at Section D.5.</w:t>
      </w:r>
    </w:p>
    <w:p>
      <w:pPr>
        <w:keepNext/>
        <w:spacing w:after="140" w:before="320"/>
      </w:pPr>
      <w:r>
        <w:rPr>
          <w:rFonts w:ascii="Times New Roman" w:cs="Times New Roman" w:eastAsia="Times New Roman" w:hAnsi="Times New Roman"/>
          <w:b/>
          <w:bCs/>
          <w:i w:val="false"/>
          <w:iCs w:val="false"/>
          <w:caps w:val="false"/>
          <w:sz w:val="24"/>
          <w:szCs w:val="24"/>
        </w:rPr>
        <w:t xml:space="preserve">SECTION C — LEGAL AND POLICY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Instrument</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Application to the Company</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Environmental Protection Act 1990, section 34</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Duty of care in respect of waste. Applies. Waste is transferred only to an authorised person and, where required, under a waste transfer note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Waste (England and Wales) Regulations 2011</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Waste hierarchy must be applied. Applies. See Section D.4</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Waste Electrical and Electronic Equipment Regulations 2013</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End-of-life IT equipment. Applies to disposal of the Company's own hardware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Climate Change Act 2008 (as amended)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Sets the UK net zero 2050 target. No direct duty on the Company; frames its targets</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Procurement Policy Note 006 (formerly PPN 06/21)</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Requires a Carbon Reduction Plan from suppliers bidding for in-scope central government contracts above the value threshold. The Company is below the threshold for its own contracts but maintains the plan at Annex B so that it can answer the question and so that it is credible when advising on it</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Streamlined Energy and Carbon Reporting (Companies (Directors' Report) and LLP (Energy and Carbon Report) Regulations 2018)</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 large companies and quoted companies. Does not apply to the Company</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Consumer Protection from Unfair Trading and the Digital Markets, Competition and Consumers Act 2024; CMA Green Claims Code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Governs environmental claims made to customers. Applies. See Section H</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Environment Act 2021</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Framework legislation. No direct operational duty on the Company at present</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D — COMMITMENTS</w:t>
      </w:r>
    </w:p>
    <w:p>
      <w:pPr>
        <w:keepNext/>
        <w:spacing w:after="100" w:before="200"/>
      </w:pPr>
      <w:r>
        <w:rPr>
          <w:rFonts w:ascii="Times New Roman" w:cs="Times New Roman" w:eastAsia="Times New Roman" w:hAnsi="Times New Roman"/>
          <w:b/>
          <w:bCs/>
          <w:i w:val="false"/>
          <w:iCs w:val="false"/>
          <w:caps w:val="false"/>
          <w:sz w:val="24"/>
          <w:szCs w:val="24"/>
        </w:rPr>
        <w:t xml:space="preserve">D.1 Measure</w:t>
      </w:r>
    </w:p>
    <w:p>
      <w:pPr>
        <w:spacing w:after="140"/>
      </w:pPr>
      <w:r>
        <w:rPr>
          <w:rFonts w:ascii="Times New Roman" w:cs="Times New Roman" w:eastAsia="Times New Roman" w:hAnsi="Times New Roman"/>
          <w:b w:val="false"/>
          <w:bCs w:val="false"/>
          <w:i w:val="false"/>
          <w:iCs w:val="false"/>
          <w:caps w:val="false"/>
          <w:sz w:val="24"/>
          <w:szCs w:val="24"/>
        </w:rPr>
        <w:t xml:space="preserve">D.1.1  The Company records, for each financial year: electricity attributable to working hours at each home workplace; business travel by mode and distance; IT hardware purchased and disposed of; and cloud storage volume.</w:t>
      </w:r>
    </w:p>
    <w:p>
      <w:pPr>
        <w:spacing w:after="140"/>
      </w:pPr>
      <w:r>
        <w:rPr>
          <w:rFonts w:ascii="Times New Roman" w:cs="Times New Roman" w:eastAsia="Times New Roman" w:hAnsi="Times New Roman"/>
          <w:b w:val="false"/>
          <w:bCs w:val="false"/>
          <w:i w:val="false"/>
          <w:iCs w:val="false"/>
          <w:caps w:val="false"/>
          <w:sz w:val="24"/>
          <w:szCs w:val="24"/>
        </w:rPr>
        <w:t xml:space="preserve">D.1.2  Where an exact figure is not available the Company uses a documented estimate, records the method, and states that it is an estimate. It does not present an estimate as a measurement.</w:t>
      </w:r>
    </w:p>
    <w:p>
      <w:pPr>
        <w:spacing w:after="140"/>
      </w:pPr>
      <w:r>
        <w:rPr>
          <w:rFonts w:ascii="Times New Roman" w:cs="Times New Roman" w:eastAsia="Times New Roman" w:hAnsi="Times New Roman"/>
          <w:b w:val="false"/>
          <w:bCs w:val="false"/>
          <w:i w:val="false"/>
          <w:iCs w:val="false"/>
          <w:caps w:val="false"/>
          <w:sz w:val="24"/>
          <w:szCs w:val="24"/>
        </w:rPr>
        <w:t xml:space="preserve">D.1.3  Conversion to CO₂e, where required, uses the UK Government greenhouse gas conversion factors for the relevant year, and the version used is recorded.</w:t>
      </w:r>
    </w:p>
    <w:p>
      <w:pPr>
        <w:keepNext/>
        <w:spacing w:after="100" w:before="200"/>
      </w:pPr>
      <w:r>
        <w:rPr>
          <w:rFonts w:ascii="Times New Roman" w:cs="Times New Roman" w:eastAsia="Times New Roman" w:hAnsi="Times New Roman"/>
          <w:b/>
          <w:bCs/>
          <w:i w:val="false"/>
          <w:iCs w:val="false"/>
          <w:caps w:val="false"/>
          <w:sz w:val="24"/>
          <w:szCs w:val="24"/>
        </w:rPr>
        <w:t xml:space="preserve">D.2 Reduce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Meetings are held remotely unless attendance in person is necessary for the work or requested by the client.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Where travel is necessary, rail is used in preference to car, and domestic air travel is not used except where rail would make the engagement impossible.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No routine printing. Draft review, mark-up, engagement letters and signatures are electronic.</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Equipment is set to power-saving defaults and is replaced on condition rather than on age.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Stored data is reviewed against the Retention and Disposal Schedule at least annually, which reduces storage as well as data protection risk.</w:t>
      </w:r>
    </w:p>
    <w:p>
      <w:pPr>
        <w:keepNext/>
        <w:spacing w:after="100" w:before="200"/>
      </w:pPr>
      <w:r>
        <w:rPr>
          <w:rFonts w:ascii="Times New Roman" w:cs="Times New Roman" w:eastAsia="Times New Roman" w:hAnsi="Times New Roman"/>
          <w:b/>
          <w:bCs/>
          <w:i w:val="false"/>
          <w:iCs w:val="false"/>
          <w:caps w:val="false"/>
          <w:sz w:val="24"/>
          <w:szCs w:val="24"/>
        </w:rPr>
        <w:t xml:space="preserve">D.3 Procure</w:t>
      </w:r>
    </w:p>
    <w:p>
      <w:pPr>
        <w:spacing w:after="140"/>
      </w:pPr>
      <w:r>
        <w:rPr>
          <w:rFonts w:ascii="Times New Roman" w:cs="Times New Roman" w:eastAsia="Times New Roman" w:hAnsi="Times New Roman"/>
          <w:b w:val="false"/>
          <w:bCs w:val="false"/>
          <w:i w:val="false"/>
          <w:iCs w:val="false"/>
          <w:caps w:val="false"/>
          <w:sz w:val="24"/>
          <w:szCs w:val="24"/>
        </w:rPr>
        <w:t xml:space="preserve">D.3.1  Environmental performance is one of the criteria in supplier selection, alongside price, competence and information security.</w:t>
      </w:r>
    </w:p>
    <w:p>
      <w:pPr>
        <w:spacing w:after="140"/>
      </w:pPr>
      <w:r>
        <w:rPr>
          <w:rFonts w:ascii="Times New Roman" w:cs="Times New Roman" w:eastAsia="Times New Roman" w:hAnsi="Times New Roman"/>
          <w:b w:val="false"/>
          <w:bCs w:val="false"/>
          <w:i w:val="false"/>
          <w:iCs w:val="false"/>
          <w:caps w:val="false"/>
          <w:sz w:val="24"/>
          <w:szCs w:val="24"/>
        </w:rPr>
        <w:t xml:space="preserve">D.3.2  Refurbished IT equipment is considered first where it is fit for purpose and carries adequate warranty and security support.</w:t>
      </w:r>
    </w:p>
    <w:p>
      <w:pPr>
        <w:spacing w:after="140"/>
      </w:pPr>
      <w:r>
        <w:rPr>
          <w:rFonts w:ascii="Times New Roman" w:cs="Times New Roman" w:eastAsia="Times New Roman" w:hAnsi="Times New Roman"/>
          <w:b w:val="false"/>
          <w:bCs w:val="false"/>
          <w:i w:val="false"/>
          <w:iCs w:val="false"/>
          <w:caps w:val="false"/>
          <w:sz w:val="24"/>
          <w:szCs w:val="24"/>
        </w:rPr>
        <w:t xml:space="preserve">D.3.3  Cloud and software providers are assessed on their published renewable energy and net zero commitments at the point of selection and at renewal.</w:t>
      </w:r>
    </w:p>
    <w:p>
      <w:pPr>
        <w:keepNext/>
        <w:spacing w:after="100" w:before="200"/>
      </w:pPr>
      <w:r>
        <w:rPr>
          <w:rFonts w:ascii="Times New Roman" w:cs="Times New Roman" w:eastAsia="Times New Roman" w:hAnsi="Times New Roman"/>
          <w:b/>
          <w:bCs/>
          <w:i w:val="false"/>
          <w:iCs w:val="false"/>
          <w:caps w:val="false"/>
          <w:sz w:val="24"/>
          <w:szCs w:val="24"/>
        </w:rPr>
        <w:t xml:space="preserve">D.4 Waste</w:t>
      </w:r>
    </w:p>
    <w:p>
      <w:pPr>
        <w:spacing w:after="140"/>
      </w:pPr>
      <w:r>
        <w:rPr>
          <w:rFonts w:ascii="Times New Roman" w:cs="Times New Roman" w:eastAsia="Times New Roman" w:hAnsi="Times New Roman"/>
          <w:b w:val="false"/>
          <w:bCs w:val="false"/>
          <w:i w:val="false"/>
          <w:iCs w:val="false"/>
          <w:caps w:val="false"/>
          <w:sz w:val="24"/>
          <w:szCs w:val="24"/>
        </w:rPr>
        <w:t xml:space="preserve">D.4.1  The waste hierarchy is applied in order: prevention, preparing for re-use, recycling, other recovery, disposal.</w:t>
      </w:r>
    </w:p>
    <w:p>
      <w:pPr>
        <w:spacing w:after="140"/>
      </w:pPr>
      <w:r>
        <w:rPr>
          <w:rFonts w:ascii="Times New Roman" w:cs="Times New Roman" w:eastAsia="Times New Roman" w:hAnsi="Times New Roman"/>
          <w:b w:val="false"/>
          <w:bCs w:val="false"/>
          <w:i w:val="false"/>
          <w:iCs w:val="false"/>
          <w:caps w:val="false"/>
          <w:sz w:val="24"/>
          <w:szCs w:val="24"/>
        </w:rPr>
        <w:t xml:space="preserve">D.4.2  End-of-life IT equipment is transferred to an authorised treatment facility or an approved WEEE take-back scheme. It is not placed in general waste.</w:t>
      </w:r>
    </w:p>
    <w:p>
      <w:pPr>
        <w:spacing w:after="140"/>
      </w:pPr>
      <w:r>
        <w:rPr>
          <w:rFonts w:ascii="Times New Roman" w:cs="Times New Roman" w:eastAsia="Times New Roman" w:hAnsi="Times New Roman"/>
          <w:b w:val="false"/>
          <w:bCs w:val="false"/>
          <w:i w:val="false"/>
          <w:iCs w:val="false"/>
          <w:caps w:val="false"/>
          <w:sz w:val="24"/>
          <w:szCs w:val="24"/>
        </w:rPr>
        <w:t xml:space="preserve">D.4.3  Before any device leaves the Company's control, data is securely erased or the storage medium is destroyed, and a certificate or record is obtained. That record satisfies both this policy and Section D of the Retention and Disposal Schedule, and the two are reconciled at each review.</w:t>
      </w:r>
    </w:p>
    <w:p>
      <w:pPr>
        <w:spacing w:after="140"/>
      </w:pPr>
      <w:r>
        <w:rPr>
          <w:rFonts w:ascii="Times New Roman" w:cs="Times New Roman" w:eastAsia="Times New Roman" w:hAnsi="Times New Roman"/>
          <w:b w:val="false"/>
          <w:bCs w:val="false"/>
          <w:i w:val="false"/>
          <w:iCs w:val="false"/>
          <w:caps w:val="false"/>
          <w:sz w:val="24"/>
          <w:szCs w:val="24"/>
        </w:rPr>
        <w:t xml:space="preserve">D.4.4  Confidential paper waste is cross-cut shredded or destroyed under a certificated service. It is not recycled unshredded.</w:t>
      </w:r>
    </w:p>
    <w:p>
      <w:pPr>
        <w:keepNext/>
        <w:spacing w:after="100" w:before="200"/>
      </w:pPr>
      <w:r>
        <w:rPr>
          <w:rFonts w:ascii="Times New Roman" w:cs="Times New Roman" w:eastAsia="Times New Roman" w:hAnsi="Times New Roman"/>
          <w:b/>
          <w:bCs/>
          <w:i w:val="false"/>
          <w:iCs w:val="false"/>
          <w:caps w:val="false"/>
          <w:sz w:val="24"/>
          <w:szCs w:val="24"/>
        </w:rPr>
        <w:t xml:space="preserve">D.5 Influence — the part that matters most</w:t>
      </w:r>
    </w:p>
    <w:p>
      <w:pPr>
        <w:spacing w:after="140"/>
      </w:pPr>
      <w:r>
        <w:rPr>
          <w:rFonts w:ascii="Times New Roman" w:cs="Times New Roman" w:eastAsia="Times New Roman" w:hAnsi="Times New Roman"/>
          <w:b w:val="false"/>
          <w:bCs w:val="false"/>
          <w:i w:val="false"/>
          <w:iCs w:val="false"/>
          <w:caps w:val="false"/>
          <w:sz w:val="24"/>
          <w:szCs w:val="24"/>
        </w:rPr>
        <w:t xml:space="preserve">D.5.1  The Company writes environmental and social value commitments that clients then become contractually bound to deliver. A commitment drafted to score well but which the client cannot deliver is an environmental harm as well as a contractual one, because it displaces a commitment that would have been delivered.</w:t>
      </w:r>
    </w:p>
    <w:p>
      <w:pPr>
        <w:spacing w:after="140"/>
      </w:pPr>
      <w:r>
        <w:rPr>
          <w:rFonts w:ascii="Times New Roman" w:cs="Times New Roman" w:eastAsia="Times New Roman" w:hAnsi="Times New Roman"/>
          <w:b w:val="false"/>
          <w:bCs w:val="false"/>
          <w:i w:val="false"/>
          <w:iCs w:val="false"/>
          <w:caps w:val="false"/>
          <w:sz w:val="24"/>
          <w:szCs w:val="24"/>
        </w:rPr>
        <w:t xml:space="preserve">D.5.2  Accordingly the Company will not draft an environmental or carbon commitment that the client has not confirmed it can deliver, and records the client's confirmation. Commitments rejected on this basis are recorded at Section E of T16.</w:t>
      </w:r>
    </w:p>
    <w:p>
      <w:pPr>
        <w:spacing w:after="140"/>
      </w:pPr>
      <w:r>
        <w:rPr>
          <w:rFonts w:ascii="Times New Roman" w:cs="Times New Roman" w:eastAsia="Times New Roman" w:hAnsi="Times New Roman"/>
          <w:b w:val="false"/>
          <w:bCs w:val="false"/>
          <w:i w:val="false"/>
          <w:iCs w:val="false"/>
          <w:caps w:val="false"/>
          <w:sz w:val="24"/>
          <w:szCs w:val="24"/>
        </w:rPr>
        <w:t xml:space="preserve">D.5.3  The Company will not draft a net zero, carbon neutral or offsetting claim for a client without seeing the underlying basis for it.</w:t>
      </w:r>
    </w:p>
    <w:p>
      <w:pPr>
        <w:spacing w:after="140"/>
      </w:pPr>
      <w:r>
        <w:rPr>
          <w:rFonts w:ascii="Times New Roman" w:cs="Times New Roman" w:eastAsia="Times New Roman" w:hAnsi="Times New Roman"/>
          <w:b w:val="false"/>
          <w:bCs w:val="false"/>
          <w:i w:val="false"/>
          <w:iCs w:val="false"/>
          <w:caps w:val="false"/>
          <w:sz w:val="24"/>
          <w:szCs w:val="24"/>
        </w:rPr>
        <w:t xml:space="preserve">D.5.4  The Company does not calculate greenhouse gas emissions figures and will not insert a figure into a client's Carbon Reduction Plan that the client has not supplied and verified.</w:t>
      </w:r>
    </w:p>
    <w:p>
      <w:pPr>
        <w:keepNext/>
        <w:spacing w:after="140" w:before="320"/>
      </w:pPr>
      <w:r>
        <w:rPr>
          <w:rFonts w:ascii="Times New Roman" w:cs="Times New Roman" w:eastAsia="Times New Roman" w:hAnsi="Times New Roman"/>
          <w:b/>
          <w:bCs/>
          <w:i w:val="false"/>
          <w:iCs w:val="false"/>
          <w:caps w:val="false"/>
          <w:sz w:val="24"/>
          <w:szCs w:val="24"/>
        </w:rPr>
        <w:t xml:space="preserve">SECTION E — OBJECTIVES AND TARGETS</w:t>
      </w:r>
    </w:p>
    <w:p>
      <w:pPr>
        <w:spacing w:after="140"/>
      </w:pPr>
      <w:r>
        <w:rPr>
          <w:rFonts w:ascii="Times New Roman" w:cs="Times New Roman" w:eastAsia="Times New Roman" w:hAnsi="Times New Roman"/>
          <w:b w:val="false"/>
          <w:bCs w:val="false"/>
          <w:i/>
          <w:iCs/>
          <w:caps w:val="false"/>
          <w:sz w:val="24"/>
          <w:szCs w:val="24"/>
        </w:rPr>
        <w:t xml:space="preserve">Targets are set against the baseline year and reviewed annually. A target is only recorded here once it is measurable.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1264"/>
        <w:gridCol w:w="1625"/>
        <w:gridCol w:w="1083"/>
        <w:gridCol w:w="1082"/>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Objective</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Metric</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Baseline ([BASELINE YEAR])</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Target</w:t>
            </w:r>
          </w:p>
        </w:tc>
        <w:tc>
          <w:tcPr>
            <w:tcW w:type="dxa" w:w="108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Target date</w:t>
            </w:r>
          </w:p>
        </w:tc>
        <w:tc>
          <w:tcPr>
            <w:tcW w:type="dxa" w:w="108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Reduce business travel emissions per engagement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kgCO₂e per engagement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Maintain remote-first delivery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of client meetings held remotely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Eliminate routine printing</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Sheets printed per year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Extend hardware life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Average age at replacement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[TARGET] years</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WEEE-compliant disposal</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of devices disposed of with a certificate on file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Supplier environmental screening</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of new suppliers screened before appointment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commitments evidenced</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of drafted environmental commitments with a recorded client confirmation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100%</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08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F —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Role</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Responsibility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board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Approves this policy, sets targets, and reviews performance at the management review</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[ENVIRONMENTAL LEAD NAME], [ROLE]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Maintains the records at Annex A, screens suppliers, obtains disposal certificates, prepares the annual review</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 personnel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Apply the commitments at Section D, record travel, and report anything that cannot be complied with rather than working around it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Associates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Comply with this policy when performing an engagement for the Company, as required by the Associate Agreement</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G — MONITORING, REVIEW AND IMPROVEMENT</w:t>
      </w:r>
    </w:p>
    <w:p>
      <w:pPr>
        <w:spacing w:after="140"/>
      </w:pPr>
      <w:r>
        <w:rPr>
          <w:rFonts w:ascii="Times New Roman" w:cs="Times New Roman" w:eastAsia="Times New Roman" w:hAnsi="Times New Roman"/>
          <w:b w:val="false"/>
          <w:bCs w:val="false"/>
          <w:i w:val="false"/>
          <w:iCs w:val="false"/>
          <w:caps w:val="false"/>
          <w:sz w:val="24"/>
          <w:szCs w:val="24"/>
        </w:rPr>
        <w:t xml:space="preserve">G.1  Performance against Section E is recorded at Annex A and reviewed at least annually.</w:t>
      </w:r>
    </w:p>
    <w:p>
      <w:pPr>
        <w:spacing w:after="140"/>
      </w:pPr>
      <w:r>
        <w:rPr>
          <w:rFonts w:ascii="Times New Roman" w:cs="Times New Roman" w:eastAsia="Times New Roman" w:hAnsi="Times New Roman"/>
          <w:b w:val="false"/>
          <w:bCs w:val="false"/>
          <w:i w:val="false"/>
          <w:iCs w:val="false"/>
          <w:caps w:val="false"/>
          <w:sz w:val="24"/>
          <w:szCs w:val="24"/>
        </w:rPr>
        <w:t xml:space="preserve">G.2  Environmental performance is a standing item at the management review recorded under the Quality Management Policy.</w:t>
      </w:r>
    </w:p>
    <w:p>
      <w:pPr>
        <w:spacing w:after="140"/>
      </w:pPr>
      <w:r>
        <w:rPr>
          <w:rFonts w:ascii="Times New Roman" w:cs="Times New Roman" w:eastAsia="Times New Roman" w:hAnsi="Times New Roman"/>
          <w:b w:val="false"/>
          <w:bCs w:val="false"/>
          <w:i w:val="false"/>
          <w:iCs w:val="false"/>
          <w:caps w:val="false"/>
          <w:sz w:val="24"/>
          <w:szCs w:val="24"/>
        </w:rPr>
        <w:t xml:space="preserve">G.3  This policy is reviewed at least annually and additionally on any change in the law, any change in the Company's operating model, and any failure to meet a target.</w:t>
      </w:r>
    </w:p>
    <w:p>
      <w:pPr>
        <w:spacing w:after="140"/>
      </w:pPr>
      <w:r>
        <w:rPr>
          <w:rFonts w:ascii="Times New Roman" w:cs="Times New Roman" w:eastAsia="Times New Roman" w:hAnsi="Times New Roman"/>
          <w:b w:val="false"/>
          <w:bCs w:val="false"/>
          <w:i w:val="false"/>
          <w:iCs w:val="false"/>
          <w:caps w:val="false"/>
          <w:sz w:val="24"/>
          <w:szCs w:val="24"/>
        </w:rPr>
        <w:t xml:space="preserve">G.4  A failure to meet a target is recorded, with the reason, rather than removed. A target quietly deleted is worse evidence than a target missed and explained.</w:t>
      </w:r>
    </w:p>
    <w:p>
      <w:pPr>
        <w:keepNext/>
        <w:spacing w:after="140" w:before="320"/>
      </w:pPr>
      <w:r>
        <w:rPr>
          <w:rFonts w:ascii="Times New Roman" w:cs="Times New Roman" w:eastAsia="Times New Roman" w:hAnsi="Times New Roman"/>
          <w:b/>
          <w:bCs/>
          <w:i w:val="false"/>
          <w:iCs w:val="false"/>
          <w:caps w:val="false"/>
          <w:sz w:val="24"/>
          <w:szCs w:val="24"/>
        </w:rPr>
        <w:t xml:space="preserve">SECTION H — WHAT THE COMPANY DOES NOT CLAIM</w:t>
      </w:r>
    </w:p>
    <w:p>
      <w:pPr>
        <w:spacing w:after="140"/>
      </w:pPr>
      <w:r>
        <w:rPr>
          <w:rFonts w:ascii="Times New Roman" w:cs="Times New Roman" w:eastAsia="Times New Roman" w:hAnsi="Times New Roman"/>
          <w:b w:val="false"/>
          <w:bCs w:val="false"/>
          <w:i w:val="false"/>
          <w:iCs w:val="false"/>
          <w:caps w:val="false"/>
          <w:sz w:val="24"/>
          <w:szCs w:val="24"/>
        </w:rPr>
        <w:t xml:space="preserve">H.1  This section exists because environmental claims to customers are regulated, and because a supplier that overstates its position in a tender exposes itself to exclusion and to a claim.</w:t>
      </w:r>
    </w:p>
    <w:p>
      <w:pPr>
        <w:spacing w:after="140"/>
      </w:pPr>
      <w:r>
        <w:rPr>
          <w:rFonts w:ascii="Times New Roman" w:cs="Times New Roman" w:eastAsia="Times New Roman" w:hAnsi="Times New Roman"/>
          <w:b w:val="false"/>
          <w:bCs w:val="false"/>
          <w:i w:val="false"/>
          <w:iCs w:val="false"/>
          <w:caps w:val="false"/>
          <w:sz w:val="24"/>
          <w:szCs w:val="24"/>
        </w:rPr>
        <w:t xml:space="preserve">H.2  The Company is not certified to ISO 14001, ISO 50001 or any equivalent environmental management standard.</w:t>
      </w:r>
    </w:p>
    <w:p>
      <w:pPr>
        <w:spacing w:after="140"/>
      </w:pPr>
      <w:r>
        <w:rPr>
          <w:rFonts w:ascii="Times New Roman" w:cs="Times New Roman" w:eastAsia="Times New Roman" w:hAnsi="Times New Roman"/>
          <w:b w:val="false"/>
          <w:bCs w:val="false"/>
          <w:i w:val="false"/>
          <w:iCs w:val="false"/>
          <w:caps w:val="false"/>
          <w:sz w:val="24"/>
          <w:szCs w:val="24"/>
        </w:rPr>
        <w:t xml:space="preserve">H.3  The Company does not claim to be carbon neutral or net zero, and does not purchase or claim carbon offsets.</w:t>
      </w:r>
    </w:p>
    <w:p>
      <w:pPr>
        <w:spacing w:after="140"/>
      </w:pPr>
      <w:r>
        <w:rPr>
          <w:rFonts w:ascii="Times New Roman" w:cs="Times New Roman" w:eastAsia="Times New Roman" w:hAnsi="Times New Roman"/>
          <w:b w:val="false"/>
          <w:bCs w:val="false"/>
          <w:i w:val="false"/>
          <w:iCs w:val="false"/>
          <w:caps w:val="false"/>
          <w:sz w:val="24"/>
          <w:szCs w:val="24"/>
        </w:rPr>
        <w:t xml:space="preserve">H.4  The Company does not hold an independently verified greenhouse gas inventory. Figures reported at Annex A are self-reported and unassured, and are described as such wherever they are used.</w:t>
      </w:r>
    </w:p>
    <w:p>
      <w:pPr>
        <w:spacing w:after="140"/>
      </w:pPr>
      <w:r>
        <w:rPr>
          <w:rFonts w:ascii="Times New Roman" w:cs="Times New Roman" w:eastAsia="Times New Roman" w:hAnsi="Times New Roman"/>
          <w:b w:val="false"/>
          <w:bCs w:val="false"/>
          <w:i w:val="false"/>
          <w:iCs w:val="false"/>
          <w:caps w:val="false"/>
          <w:sz w:val="24"/>
          <w:szCs w:val="24"/>
        </w:rPr>
        <w:t xml:space="preserve">H.5  Any environmental claim the Company makes in marketing or in a tender response must be accurate, substantiated, clear about what it covers, and capable of being evidenced, in accordance with the CMA Green Claims Code. A claim that cannot meet those tests is not made.</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 on behalf of the board</w:t>
            </w:r>
          </w:p>
        </w:tc>
        <w:tc>
          <w:tcPr>
            <w:tcW w:type="dxa" w:w="541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ROLE]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ANNEX A — ENVIRONMENTAL PERFORMANCE RECORD</w:t>
      </w:r>
    </w:p>
    <w:p>
      <w:pPr>
        <w:spacing w:after="140"/>
      </w:pPr>
      <w:r>
        <w:rPr>
          <w:rFonts w:ascii="Times New Roman" w:cs="Times New Roman" w:eastAsia="Times New Roman" w:hAnsi="Times New Roman"/>
          <w:b w:val="false"/>
          <w:bCs w:val="false"/>
          <w:i/>
          <w:iCs/>
          <w:caps w:val="false"/>
          <w:sz w:val="24"/>
          <w:szCs w:val="24"/>
        </w:rPr>
        <w:t xml:space="preserve">Completed annually. State the basis of every figure: measured, estimated, or supplier-reported.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1264"/>
        <w:gridCol w:w="2707"/>
      </w:tblGrid>
      <w:tr>
        <w:trPr>
          <w:tblHeader/>
        </w:trPr>
        <w:tc>
          <w:tcPr>
            <w:tcW w:type="dxa" w:w="252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Measure</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Unit</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[YEAR 1]</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[YEAR 2]</w:t>
            </w:r>
          </w:p>
        </w:tc>
        <w:tc>
          <w:tcPr>
            <w:tcW w:type="dxa" w:w="270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Basis and notes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Electricity attributable to working hours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kWh</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[MEASURED / ESTIMATED — METHOD]</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Rail travel</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miles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 travel</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miles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Air travel</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miles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 travel emissions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kgCO₂e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Conversion factors: [YEAR] UK Government GHG factors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meetings held remotely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Sheets printed</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sheets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Devices disposed of</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Disposal certificates held</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Reconciled to the Disposal Log</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New suppliers screened</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of new suppliers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[FIGURE]</w:t>
            </w:r>
          </w:p>
        </w:tc>
        <w:tc>
          <w:tcPr>
            <w:tcW w:type="dxa" w:w="270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[BASIS]</w:t>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B — CARBON REDUCTION PLAN STATUS</w:t>
      </w:r>
    </w:p>
    <w:p>
      <w:pPr>
        <w:spacing w:after="140"/>
      </w:pPr>
      <w:r>
        <w:rPr>
          <w:rFonts w:ascii="Times New Roman" w:cs="Times New Roman" w:eastAsia="Times New Roman" w:hAnsi="Times New Roman"/>
          <w:b w:val="false"/>
          <w:bCs w:val="false"/>
          <w:i/>
          <w:iCs/>
          <w:caps w:val="false"/>
          <w:sz w:val="24"/>
          <w:szCs w:val="24"/>
        </w:rPr>
        <w:t xml:space="preserve">The Company is below the PPN 006 value threshold for its own contracts. This annex records whether a plan is held, so that the question can be answered accurately in a tender.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Item</w:t>
            </w:r>
          </w:p>
        </w:tc>
        <w:tc>
          <w:tcPr>
            <w:tcW w:type="dxa" w:w="49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Status</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Carbon Reduction Plan prepared</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 — DATE]</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Baseline year</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[YEAR]</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Scopes covered</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[SCOPE 1 / 2 / 3 CATEGORIES]</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Emissions figures calculated by</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[WHO] — note: not calculated by the Company</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Published at</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[URL]</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Board approval date</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406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Independently verified</w:t>
            </w:r>
          </w:p>
        </w:tc>
        <w:tc>
          <w:tcPr>
            <w:tcW w:type="dxa" w:w="49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w:t>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C — WASTE AND DISPOSAL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166"/>
        <w:gridCol w:w="1444"/>
        <w:gridCol w:w="2166"/>
        <w:gridCol w:w="1986"/>
      </w:tblGrid>
      <w:tr>
        <w:trPr>
          <w:tblHeader/>
        </w:trPr>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Item</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Route</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Authorised person / scheme</w:t>
            </w:r>
          </w:p>
        </w:tc>
        <w:tc>
          <w:tcPr>
            <w:tcW w:type="dxa" w:w="198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Certificate reference</w:t>
            </w:r>
          </w:p>
        </w:tc>
      </w:tr>
      <w:tr>
        <w:trPr>
          <w:tblHeader w:val="false"/>
        </w:trPr>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[ITEM]</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[RE-USE / RECYCLE / WEEE / DESTRUCTION]</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[PROVIDER]</w:t>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w:t>
            </w:r>
          </w:p>
        </w:tc>
      </w:tr>
      <w:tr>
        <w:trPr>
          <w:tblHeader w:val="false"/>
        </w:trPr>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2026-09-11T10:48:42.622Z</dcterms:created>
  <dcterms:modified xsi:type="dcterms:W3CDTF">2026-09-11T10:48:42.622Z</dcterms:modified>
</cp:coreProperties>
</file>

<file path=docProps/custom.xml><?xml version="1.0" encoding="utf-8"?>
<Properties xmlns="http://schemas.openxmlformats.org/officeDocument/2006/custom-properties" xmlns:vt="http://schemas.openxmlformats.org/officeDocument/2006/docPropsVTypes"/>
</file>