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DD6069"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b/>
          <w:bCs/>
          <w:kern w:val="0"/>
          <w:lang w:eastAsia="en-GB"/>
          <w14:ligatures w14:val="none"/>
        </w:rPr>
        <w:t>CONFIDENTIAL</w:t>
      </w:r>
    </w:p>
    <w:p w14:paraId="2EC866C6" w14:textId="77777777" w:rsidR="008D36D8" w:rsidRPr="008D36D8" w:rsidRDefault="008D36D8" w:rsidP="008D36D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D36D8">
        <w:rPr>
          <w:rFonts w:ascii="Times New Roman" w:eastAsia="Times New Roman" w:hAnsi="Times New Roman" w:cs="Times New Roman"/>
          <w:b/>
          <w:bCs/>
          <w:kern w:val="36"/>
          <w:sz w:val="48"/>
          <w:szCs w:val="48"/>
          <w:lang w:eastAsia="en-GB"/>
          <w14:ligatures w14:val="none"/>
        </w:rPr>
        <w:t>ARTICLES OF ASSOCIATION</w:t>
      </w:r>
    </w:p>
    <w:p w14:paraId="591B9078"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MARHANA &amp; CO CONSULTING LTD</w:t>
      </w:r>
    </w:p>
    <w:p w14:paraId="118243EF"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i/>
          <w:iCs/>
          <w:kern w:val="0"/>
          <w:lang w:eastAsia="en-GB"/>
          <w14:ligatures w14:val="none"/>
        </w:rPr>
        <w:t>Company number [●] — a private company limited by shares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7777"/>
      </w:tblGrid>
      <w:tr w:rsidR="008D36D8" w:rsidRPr="008D36D8" w14:paraId="27C7314C" w14:textId="77777777">
        <w:trPr>
          <w:tblHeader/>
          <w:tblCellSpacing w:w="15" w:type="dxa"/>
        </w:trPr>
        <w:tc>
          <w:tcPr>
            <w:tcW w:w="0" w:type="auto"/>
            <w:vAlign w:val="center"/>
            <w:hideMark/>
          </w:tcPr>
          <w:p w14:paraId="4D74D05C" w14:textId="77777777" w:rsidR="008D36D8" w:rsidRPr="008D36D8" w:rsidRDefault="008D36D8" w:rsidP="008D36D8">
            <w:pPr>
              <w:rPr>
                <w:rFonts w:ascii="Times New Roman" w:eastAsia="Times New Roman" w:hAnsi="Times New Roman" w:cs="Times New Roman"/>
                <w:kern w:val="0"/>
                <w:lang w:eastAsia="en-GB"/>
                <w14:ligatures w14:val="none"/>
              </w:rPr>
            </w:pPr>
          </w:p>
        </w:tc>
        <w:tc>
          <w:tcPr>
            <w:tcW w:w="0" w:type="auto"/>
            <w:vAlign w:val="center"/>
            <w:hideMark/>
          </w:tcPr>
          <w:p w14:paraId="156A3D87" w14:textId="77777777" w:rsidR="008D36D8" w:rsidRPr="008D36D8" w:rsidRDefault="008D36D8" w:rsidP="008D36D8">
            <w:pPr>
              <w:jc w:val="center"/>
              <w:rPr>
                <w:rFonts w:ascii="Times New Roman" w:eastAsia="Times New Roman" w:hAnsi="Times New Roman" w:cs="Times New Roman"/>
                <w:kern w:val="0"/>
                <w:sz w:val="20"/>
                <w:szCs w:val="20"/>
                <w:lang w:eastAsia="en-GB"/>
                <w14:ligatures w14:val="none"/>
              </w:rPr>
            </w:pPr>
          </w:p>
        </w:tc>
      </w:tr>
      <w:tr w:rsidR="008D36D8" w:rsidRPr="008D36D8" w14:paraId="349B5EF3" w14:textId="77777777">
        <w:trPr>
          <w:tblCellSpacing w:w="15" w:type="dxa"/>
        </w:trPr>
        <w:tc>
          <w:tcPr>
            <w:tcW w:w="0" w:type="auto"/>
            <w:vAlign w:val="center"/>
            <w:hideMark/>
          </w:tcPr>
          <w:p w14:paraId="1FBAEE81" w14:textId="77777777" w:rsidR="008D36D8" w:rsidRPr="008D36D8" w:rsidRDefault="008D36D8" w:rsidP="008D36D8">
            <w:pPr>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b/>
                <w:bCs/>
                <w:kern w:val="0"/>
                <w:lang w:eastAsia="en-GB"/>
                <w14:ligatures w14:val="none"/>
              </w:rPr>
              <w:t>ADOPTED</w:t>
            </w:r>
          </w:p>
        </w:tc>
        <w:tc>
          <w:tcPr>
            <w:tcW w:w="0" w:type="auto"/>
            <w:vAlign w:val="center"/>
            <w:hideMark/>
          </w:tcPr>
          <w:p w14:paraId="615C7FB0" w14:textId="77777777" w:rsidR="008D36D8" w:rsidRPr="008D36D8" w:rsidRDefault="008D36D8" w:rsidP="008D36D8">
            <w:pPr>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By special resolution passed on [DATE] / on incorporation</w:t>
            </w:r>
          </w:p>
        </w:tc>
      </w:tr>
      <w:tr w:rsidR="008D36D8" w:rsidRPr="008D36D8" w14:paraId="695B995D" w14:textId="77777777">
        <w:trPr>
          <w:tblCellSpacing w:w="15" w:type="dxa"/>
        </w:trPr>
        <w:tc>
          <w:tcPr>
            <w:tcW w:w="0" w:type="auto"/>
            <w:vAlign w:val="center"/>
            <w:hideMark/>
          </w:tcPr>
          <w:p w14:paraId="47966C37" w14:textId="77777777" w:rsidR="008D36D8" w:rsidRPr="008D36D8" w:rsidRDefault="008D36D8" w:rsidP="008D36D8">
            <w:pPr>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b/>
                <w:bCs/>
                <w:kern w:val="0"/>
                <w:lang w:eastAsia="en-GB"/>
                <w14:ligatures w14:val="none"/>
              </w:rPr>
              <w:t>STATUS</w:t>
            </w:r>
          </w:p>
        </w:tc>
        <w:tc>
          <w:tcPr>
            <w:tcW w:w="0" w:type="auto"/>
            <w:vAlign w:val="center"/>
            <w:hideMark/>
          </w:tcPr>
          <w:p w14:paraId="70C24EF2" w14:textId="77777777" w:rsidR="008D36D8" w:rsidRPr="008D36D8" w:rsidRDefault="008D36D8" w:rsidP="008D36D8">
            <w:pPr>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b/>
                <w:bCs/>
                <w:kern w:val="0"/>
                <w:lang w:eastAsia="en-GB"/>
                <w14:ligatures w14:val="none"/>
              </w:rPr>
              <w:t>DRAFTING FRAMEWORK — NOT FOR ADOPTION OR FILING UNTIL REVIEWED BY A QUALIFIED SOLICITOR</w:t>
            </w:r>
          </w:p>
        </w:tc>
      </w:tr>
    </w:tbl>
    <w:p w14:paraId="7A1783EF"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b/>
          <w:bCs/>
          <w:kern w:val="0"/>
          <w:lang w:eastAsia="en-GB"/>
          <w14:ligatures w14:val="none"/>
        </w:rPr>
        <w:t>Why these are needed.</w:t>
      </w:r>
      <w:r w:rsidRPr="008D36D8">
        <w:rPr>
          <w:rFonts w:ascii="Times New Roman" w:eastAsia="Times New Roman" w:hAnsi="Times New Roman" w:cs="Times New Roman"/>
          <w:kern w:val="0"/>
          <w:lang w:eastAsia="en-GB"/>
          <w14:ligatures w14:val="none"/>
        </w:rPr>
        <w:t xml:space="preserve"> The Shareholders' and Directors' Agreement binds the parties to it. It does not bind the Company as against a third party, and it does not prevent a transfer being registered in breach of it. Drag-along, tag-along, compulsory transfer and leaver pricing must live in the articles to be effective against the world. These articles carry that machinery and align the directors' decision-making provisions with the Agreement.</w:t>
      </w:r>
    </w:p>
    <w:p w14:paraId="732D7164"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b/>
          <w:bCs/>
          <w:kern w:val="0"/>
          <w:lang w:eastAsia="en-GB"/>
          <w14:ligatures w14:val="none"/>
        </w:rPr>
        <w:t>Adopt at incorporation if possible.</w:t>
      </w:r>
      <w:r w:rsidRPr="008D36D8">
        <w:rPr>
          <w:rFonts w:ascii="Times New Roman" w:eastAsia="Times New Roman" w:hAnsi="Times New Roman" w:cs="Times New Roman"/>
          <w:kern w:val="0"/>
          <w:lang w:eastAsia="en-GB"/>
          <w14:ligatures w14:val="none"/>
        </w:rPr>
        <w:t xml:space="preserve"> Amending later requires a special resolution and a filing at Companies House within fifteen days, and leaves an interval during which the model articles govern.</w:t>
      </w:r>
    </w:p>
    <w:p w14:paraId="3163F60D"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144E0348">
          <v:rect id="_x0000_i1044" alt="" style="width:451.3pt;height:.05pt;mso-width-percent:0;mso-height-percent:0;mso-width-percent:0;mso-height-percent:0" o:hralign="center" o:hrstd="t" o:hr="t" fillcolor="#a0a0a0" stroked="f"/>
        </w:pict>
      </w:r>
    </w:p>
    <w:p w14:paraId="62E319C7"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1. INTERPRETATION AND ADOPTION OF THE MODEL ARTICLES</w:t>
      </w:r>
    </w:p>
    <w:p w14:paraId="3D60C4F4"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1.1 The model articles for private companies limited by shares contained in Schedule 1 to the Companies (Model Articles) Regulations 2008 (SI 2008/3229) as amended prior to the date of adoption of these Articles (the "</w:t>
      </w:r>
      <w:r w:rsidRPr="008D36D8">
        <w:rPr>
          <w:rFonts w:ascii="Times New Roman" w:eastAsia="Times New Roman" w:hAnsi="Times New Roman" w:cs="Times New Roman"/>
          <w:b/>
          <w:bCs/>
          <w:kern w:val="0"/>
          <w:lang w:eastAsia="en-GB"/>
          <w14:ligatures w14:val="none"/>
        </w:rPr>
        <w:t>Model Articles</w:t>
      </w:r>
      <w:r w:rsidRPr="008D36D8">
        <w:rPr>
          <w:rFonts w:ascii="Times New Roman" w:eastAsia="Times New Roman" w:hAnsi="Times New Roman" w:cs="Times New Roman"/>
          <w:kern w:val="0"/>
          <w:lang w:eastAsia="en-GB"/>
          <w14:ligatures w14:val="none"/>
        </w:rPr>
        <w:t>") shall apply to the Company, save insofar as they are excluded or modified by these Articles, and shall together with these Articles constitute the articles of association of the Company.</w:t>
      </w:r>
    </w:p>
    <w:p w14:paraId="4470A06E"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1.2 Model Articles 8, 11(2), 13(1) to (3), 14, 21, 26(5), 27, 44(2), 52 and 53 shall not apply to the Company.</w:t>
      </w:r>
    </w:p>
    <w:p w14:paraId="2FC762FF"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1.3 In these Articles, unless the context otherwise requires:</w:t>
      </w:r>
    </w:p>
    <w:p w14:paraId="0F2D8B9C"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1.3.1 "</w:t>
      </w:r>
      <w:r w:rsidRPr="008D36D8">
        <w:rPr>
          <w:rFonts w:ascii="Times New Roman" w:eastAsia="Times New Roman" w:hAnsi="Times New Roman" w:cs="Times New Roman"/>
          <w:b/>
          <w:bCs/>
          <w:kern w:val="0"/>
          <w:lang w:eastAsia="en-GB"/>
          <w14:ligatures w14:val="none"/>
        </w:rPr>
        <w:t>Act</w:t>
      </w:r>
      <w:r w:rsidRPr="008D36D8">
        <w:rPr>
          <w:rFonts w:ascii="Times New Roman" w:eastAsia="Times New Roman" w:hAnsi="Times New Roman" w:cs="Times New Roman"/>
          <w:kern w:val="0"/>
          <w:lang w:eastAsia="en-GB"/>
          <w14:ligatures w14:val="none"/>
        </w:rPr>
        <w:t>" means the Companies Act 2006;</w:t>
      </w:r>
    </w:p>
    <w:p w14:paraId="61519146"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1.3.2 "</w:t>
      </w:r>
      <w:r w:rsidRPr="008D36D8">
        <w:rPr>
          <w:rFonts w:ascii="Times New Roman" w:eastAsia="Times New Roman" w:hAnsi="Times New Roman" w:cs="Times New Roman"/>
          <w:b/>
          <w:bCs/>
          <w:kern w:val="0"/>
          <w:lang w:eastAsia="en-GB"/>
          <w14:ligatures w14:val="none"/>
        </w:rPr>
        <w:t>Bad Leaver</w:t>
      </w:r>
      <w:r w:rsidRPr="008D36D8">
        <w:rPr>
          <w:rFonts w:ascii="Times New Roman" w:eastAsia="Times New Roman" w:hAnsi="Times New Roman" w:cs="Times New Roman"/>
          <w:kern w:val="0"/>
          <w:lang w:eastAsia="en-GB"/>
          <w14:ligatures w14:val="none"/>
        </w:rPr>
        <w:t>" and "</w:t>
      </w:r>
      <w:r w:rsidRPr="008D36D8">
        <w:rPr>
          <w:rFonts w:ascii="Times New Roman" w:eastAsia="Times New Roman" w:hAnsi="Times New Roman" w:cs="Times New Roman"/>
          <w:b/>
          <w:bCs/>
          <w:kern w:val="0"/>
          <w:lang w:eastAsia="en-GB"/>
          <w14:ligatures w14:val="none"/>
        </w:rPr>
        <w:t>Good Leaver</w:t>
      </w:r>
      <w:r w:rsidRPr="008D36D8">
        <w:rPr>
          <w:rFonts w:ascii="Times New Roman" w:eastAsia="Times New Roman" w:hAnsi="Times New Roman" w:cs="Times New Roman"/>
          <w:kern w:val="0"/>
          <w:lang w:eastAsia="en-GB"/>
          <w14:ligatures w14:val="none"/>
        </w:rPr>
        <w:t>" bear the meanings given in the Shareholders' Agreement;</w:t>
      </w:r>
    </w:p>
    <w:p w14:paraId="113F0DB6"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1.3.3 "</w:t>
      </w:r>
      <w:r w:rsidRPr="008D36D8">
        <w:rPr>
          <w:rFonts w:ascii="Times New Roman" w:eastAsia="Times New Roman" w:hAnsi="Times New Roman" w:cs="Times New Roman"/>
          <w:b/>
          <w:bCs/>
          <w:kern w:val="0"/>
          <w:lang w:eastAsia="en-GB"/>
          <w14:ligatures w14:val="none"/>
        </w:rPr>
        <w:t>Business Day</w:t>
      </w:r>
      <w:r w:rsidRPr="008D36D8">
        <w:rPr>
          <w:rFonts w:ascii="Times New Roman" w:eastAsia="Times New Roman" w:hAnsi="Times New Roman" w:cs="Times New Roman"/>
          <w:kern w:val="0"/>
          <w:lang w:eastAsia="en-GB"/>
          <w14:ligatures w14:val="none"/>
        </w:rPr>
        <w:t>" means any day other than a Saturday, a Sunday or a day which is a public or bank holiday in England and Wales;</w:t>
      </w:r>
    </w:p>
    <w:p w14:paraId="3AFDCC72"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1.3.4 "</w:t>
      </w:r>
      <w:r w:rsidRPr="008D36D8">
        <w:rPr>
          <w:rFonts w:ascii="Times New Roman" w:eastAsia="Times New Roman" w:hAnsi="Times New Roman" w:cs="Times New Roman"/>
          <w:b/>
          <w:bCs/>
          <w:kern w:val="0"/>
          <w:lang w:eastAsia="en-GB"/>
          <w14:ligatures w14:val="none"/>
        </w:rPr>
        <w:t>Connected Person</w:t>
      </w:r>
      <w:r w:rsidRPr="008D36D8">
        <w:rPr>
          <w:rFonts w:ascii="Times New Roman" w:eastAsia="Times New Roman" w:hAnsi="Times New Roman" w:cs="Times New Roman"/>
          <w:kern w:val="0"/>
          <w:lang w:eastAsia="en-GB"/>
          <w14:ligatures w14:val="none"/>
        </w:rPr>
        <w:t>" has the meaning given in sections 252 to 255 of the Act;</w:t>
      </w:r>
    </w:p>
    <w:p w14:paraId="3598F646"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lastRenderedPageBreak/>
        <w:t>1.3.5 "</w:t>
      </w:r>
      <w:r w:rsidRPr="008D36D8">
        <w:rPr>
          <w:rFonts w:ascii="Times New Roman" w:eastAsia="Times New Roman" w:hAnsi="Times New Roman" w:cs="Times New Roman"/>
          <w:b/>
          <w:bCs/>
          <w:kern w:val="0"/>
          <w:lang w:eastAsia="en-GB"/>
          <w14:ligatures w14:val="none"/>
        </w:rPr>
        <w:t>Controlling Interest</w:t>
      </w:r>
      <w:r w:rsidRPr="008D36D8">
        <w:rPr>
          <w:rFonts w:ascii="Times New Roman" w:eastAsia="Times New Roman" w:hAnsi="Times New Roman" w:cs="Times New Roman"/>
          <w:kern w:val="0"/>
          <w:lang w:eastAsia="en-GB"/>
          <w14:ligatures w14:val="none"/>
        </w:rPr>
        <w:t>" means an interest in shares conferring in aggregate more than fifty per cent (50%) of the voting rights normally exercisable at a general meeting of the Company;</w:t>
      </w:r>
    </w:p>
    <w:p w14:paraId="482CB27F"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1.3.6 "</w:t>
      </w:r>
      <w:r w:rsidRPr="008D36D8">
        <w:rPr>
          <w:rFonts w:ascii="Times New Roman" w:eastAsia="Times New Roman" w:hAnsi="Times New Roman" w:cs="Times New Roman"/>
          <w:b/>
          <w:bCs/>
          <w:kern w:val="0"/>
          <w:lang w:eastAsia="en-GB"/>
          <w14:ligatures w14:val="none"/>
        </w:rPr>
        <w:t>Deed of Adherence</w:t>
      </w:r>
      <w:r w:rsidRPr="008D36D8">
        <w:rPr>
          <w:rFonts w:ascii="Times New Roman" w:eastAsia="Times New Roman" w:hAnsi="Times New Roman" w:cs="Times New Roman"/>
          <w:kern w:val="0"/>
          <w:lang w:eastAsia="en-GB"/>
          <w14:ligatures w14:val="none"/>
        </w:rPr>
        <w:t>" means a deed in the form approved by the Founder from time to time whereby a person agrees to be bound by the Shareholders' Agreement as if an original party thereto;</w:t>
      </w:r>
    </w:p>
    <w:p w14:paraId="75C88E85"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1.3.7 "</w:t>
      </w:r>
      <w:r w:rsidRPr="008D36D8">
        <w:rPr>
          <w:rFonts w:ascii="Times New Roman" w:eastAsia="Times New Roman" w:hAnsi="Times New Roman" w:cs="Times New Roman"/>
          <w:b/>
          <w:bCs/>
          <w:kern w:val="0"/>
          <w:lang w:eastAsia="en-GB"/>
          <w14:ligatures w14:val="none"/>
        </w:rPr>
        <w:t>Encumbrance</w:t>
      </w:r>
      <w:r w:rsidRPr="008D36D8">
        <w:rPr>
          <w:rFonts w:ascii="Times New Roman" w:eastAsia="Times New Roman" w:hAnsi="Times New Roman" w:cs="Times New Roman"/>
          <w:kern w:val="0"/>
          <w:lang w:eastAsia="en-GB"/>
          <w14:ligatures w14:val="none"/>
        </w:rPr>
        <w:t>" means any mortgage, charge, pledge, lien, option, restriction, right of first refusal, right of pre-emption, third-party right or interest, or other security interest or preferential arrangement of any kind;</w:t>
      </w:r>
    </w:p>
    <w:p w14:paraId="2A108319"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1.3.8 "</w:t>
      </w:r>
      <w:r w:rsidRPr="008D36D8">
        <w:rPr>
          <w:rFonts w:ascii="Times New Roman" w:eastAsia="Times New Roman" w:hAnsi="Times New Roman" w:cs="Times New Roman"/>
          <w:b/>
          <w:bCs/>
          <w:kern w:val="0"/>
          <w:lang w:eastAsia="en-GB"/>
          <w14:ligatures w14:val="none"/>
        </w:rPr>
        <w:t>Fair Value</w:t>
      </w:r>
      <w:r w:rsidRPr="008D36D8">
        <w:rPr>
          <w:rFonts w:ascii="Times New Roman" w:eastAsia="Times New Roman" w:hAnsi="Times New Roman" w:cs="Times New Roman"/>
          <w:kern w:val="0"/>
          <w:lang w:eastAsia="en-GB"/>
          <w14:ligatures w14:val="none"/>
        </w:rPr>
        <w:t>" means the value of a Share determined in accordance with Article 16;</w:t>
      </w:r>
    </w:p>
    <w:p w14:paraId="56821672"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1.3.9 "</w:t>
      </w:r>
      <w:r w:rsidRPr="008D36D8">
        <w:rPr>
          <w:rFonts w:ascii="Times New Roman" w:eastAsia="Times New Roman" w:hAnsi="Times New Roman" w:cs="Times New Roman"/>
          <w:b/>
          <w:bCs/>
          <w:kern w:val="0"/>
          <w:lang w:eastAsia="en-GB"/>
          <w14:ligatures w14:val="none"/>
        </w:rPr>
        <w:t>Founder</w:t>
      </w:r>
      <w:r w:rsidRPr="008D36D8">
        <w:rPr>
          <w:rFonts w:ascii="Times New Roman" w:eastAsia="Times New Roman" w:hAnsi="Times New Roman" w:cs="Times New Roman"/>
          <w:kern w:val="0"/>
          <w:lang w:eastAsia="en-GB"/>
          <w14:ligatures w14:val="none"/>
        </w:rPr>
        <w:t>" means [FULL LEGAL NAME OF FOUNDER], and, following his death or permanent incapacity, his personal representatives or attorney;</w:t>
      </w:r>
    </w:p>
    <w:p w14:paraId="57A3EE60"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1.3.10 "</w:t>
      </w:r>
      <w:r w:rsidRPr="008D36D8">
        <w:rPr>
          <w:rFonts w:ascii="Times New Roman" w:eastAsia="Times New Roman" w:hAnsi="Times New Roman" w:cs="Times New Roman"/>
          <w:b/>
          <w:bCs/>
          <w:kern w:val="0"/>
          <w:lang w:eastAsia="en-GB"/>
          <w14:ligatures w14:val="none"/>
        </w:rPr>
        <w:t>Material Decision</w:t>
      </w:r>
      <w:r w:rsidRPr="008D36D8">
        <w:rPr>
          <w:rFonts w:ascii="Times New Roman" w:eastAsia="Times New Roman" w:hAnsi="Times New Roman" w:cs="Times New Roman"/>
          <w:kern w:val="0"/>
          <w:lang w:eastAsia="en-GB"/>
          <w14:ligatures w14:val="none"/>
        </w:rPr>
        <w:t>" bears the meaning given in the Shareholders' Agreement;</w:t>
      </w:r>
    </w:p>
    <w:p w14:paraId="46FCC658"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1.3.11 "</w:t>
      </w:r>
      <w:r w:rsidRPr="008D36D8">
        <w:rPr>
          <w:rFonts w:ascii="Times New Roman" w:eastAsia="Times New Roman" w:hAnsi="Times New Roman" w:cs="Times New Roman"/>
          <w:b/>
          <w:bCs/>
          <w:kern w:val="0"/>
          <w:lang w:eastAsia="en-GB"/>
          <w14:ligatures w14:val="none"/>
        </w:rPr>
        <w:t>Member</w:t>
      </w:r>
      <w:r w:rsidRPr="008D36D8">
        <w:rPr>
          <w:rFonts w:ascii="Times New Roman" w:eastAsia="Times New Roman" w:hAnsi="Times New Roman" w:cs="Times New Roman"/>
          <w:kern w:val="0"/>
          <w:lang w:eastAsia="en-GB"/>
          <w14:ligatures w14:val="none"/>
        </w:rPr>
        <w:t>" means a person whose name is entered in the register of members as the holder of Shares;</w:t>
      </w:r>
    </w:p>
    <w:p w14:paraId="6A520644"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1.3.12 "</w:t>
      </w:r>
      <w:r w:rsidRPr="008D36D8">
        <w:rPr>
          <w:rFonts w:ascii="Times New Roman" w:eastAsia="Times New Roman" w:hAnsi="Times New Roman" w:cs="Times New Roman"/>
          <w:b/>
          <w:bCs/>
          <w:kern w:val="0"/>
          <w:lang w:eastAsia="en-GB"/>
          <w14:ligatures w14:val="none"/>
        </w:rPr>
        <w:t>Model Articles</w:t>
      </w:r>
      <w:r w:rsidRPr="008D36D8">
        <w:rPr>
          <w:rFonts w:ascii="Times New Roman" w:eastAsia="Times New Roman" w:hAnsi="Times New Roman" w:cs="Times New Roman"/>
          <w:kern w:val="0"/>
          <w:lang w:eastAsia="en-GB"/>
          <w14:ligatures w14:val="none"/>
        </w:rPr>
        <w:t>" bears the meaning given at Article 1.1;</w:t>
      </w:r>
    </w:p>
    <w:p w14:paraId="67C758E9"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1.3.13 "</w:t>
      </w:r>
      <w:r w:rsidRPr="008D36D8">
        <w:rPr>
          <w:rFonts w:ascii="Times New Roman" w:eastAsia="Times New Roman" w:hAnsi="Times New Roman" w:cs="Times New Roman"/>
          <w:b/>
          <w:bCs/>
          <w:kern w:val="0"/>
          <w:lang w:eastAsia="en-GB"/>
          <w14:ligatures w14:val="none"/>
        </w:rPr>
        <w:t>Sale Shares</w:t>
      </w:r>
      <w:r w:rsidRPr="008D36D8">
        <w:rPr>
          <w:rFonts w:ascii="Times New Roman" w:eastAsia="Times New Roman" w:hAnsi="Times New Roman" w:cs="Times New Roman"/>
          <w:kern w:val="0"/>
          <w:lang w:eastAsia="en-GB"/>
          <w14:ligatures w14:val="none"/>
        </w:rPr>
        <w:t>", "</w:t>
      </w:r>
      <w:r w:rsidRPr="008D36D8">
        <w:rPr>
          <w:rFonts w:ascii="Times New Roman" w:eastAsia="Times New Roman" w:hAnsi="Times New Roman" w:cs="Times New Roman"/>
          <w:b/>
          <w:bCs/>
          <w:kern w:val="0"/>
          <w:lang w:eastAsia="en-GB"/>
          <w14:ligatures w14:val="none"/>
        </w:rPr>
        <w:t>Selling Member</w:t>
      </w:r>
      <w:r w:rsidRPr="008D36D8">
        <w:rPr>
          <w:rFonts w:ascii="Times New Roman" w:eastAsia="Times New Roman" w:hAnsi="Times New Roman" w:cs="Times New Roman"/>
          <w:kern w:val="0"/>
          <w:lang w:eastAsia="en-GB"/>
          <w14:ligatures w14:val="none"/>
        </w:rPr>
        <w:t>" and "</w:t>
      </w:r>
      <w:r w:rsidRPr="008D36D8">
        <w:rPr>
          <w:rFonts w:ascii="Times New Roman" w:eastAsia="Times New Roman" w:hAnsi="Times New Roman" w:cs="Times New Roman"/>
          <w:b/>
          <w:bCs/>
          <w:kern w:val="0"/>
          <w:lang w:eastAsia="en-GB"/>
          <w14:ligatures w14:val="none"/>
        </w:rPr>
        <w:t>Transfer Notice</w:t>
      </w:r>
      <w:r w:rsidRPr="008D36D8">
        <w:rPr>
          <w:rFonts w:ascii="Times New Roman" w:eastAsia="Times New Roman" w:hAnsi="Times New Roman" w:cs="Times New Roman"/>
          <w:kern w:val="0"/>
          <w:lang w:eastAsia="en-GB"/>
          <w14:ligatures w14:val="none"/>
        </w:rPr>
        <w:t>" bear the meanings given in Article 12;</w:t>
      </w:r>
    </w:p>
    <w:p w14:paraId="65AAC64C"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1.3.14 "</w:t>
      </w:r>
      <w:r w:rsidRPr="008D36D8">
        <w:rPr>
          <w:rFonts w:ascii="Times New Roman" w:eastAsia="Times New Roman" w:hAnsi="Times New Roman" w:cs="Times New Roman"/>
          <w:b/>
          <w:bCs/>
          <w:kern w:val="0"/>
          <w:lang w:eastAsia="en-GB"/>
          <w14:ligatures w14:val="none"/>
        </w:rPr>
        <w:t>Shareholders' Agreement</w:t>
      </w:r>
      <w:r w:rsidRPr="008D36D8">
        <w:rPr>
          <w:rFonts w:ascii="Times New Roman" w:eastAsia="Times New Roman" w:hAnsi="Times New Roman" w:cs="Times New Roman"/>
          <w:kern w:val="0"/>
          <w:lang w:eastAsia="en-GB"/>
          <w14:ligatures w14:val="none"/>
        </w:rPr>
        <w:t>" means any agreement in force from time to time between all or some of the Members and the Company relating to the Company, its management and the rights of Members, and includes the Shareholders' and Directors' Agreement dated [●] as amended from time to time;</w:t>
      </w:r>
    </w:p>
    <w:p w14:paraId="638641C6"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1.3.15 "</w:t>
      </w:r>
      <w:r w:rsidRPr="008D36D8">
        <w:rPr>
          <w:rFonts w:ascii="Times New Roman" w:eastAsia="Times New Roman" w:hAnsi="Times New Roman" w:cs="Times New Roman"/>
          <w:b/>
          <w:bCs/>
          <w:kern w:val="0"/>
          <w:lang w:eastAsia="en-GB"/>
          <w14:ligatures w14:val="none"/>
        </w:rPr>
        <w:t>Shares</w:t>
      </w:r>
      <w:r w:rsidRPr="008D36D8">
        <w:rPr>
          <w:rFonts w:ascii="Times New Roman" w:eastAsia="Times New Roman" w:hAnsi="Times New Roman" w:cs="Times New Roman"/>
          <w:kern w:val="0"/>
          <w:lang w:eastAsia="en-GB"/>
          <w14:ligatures w14:val="none"/>
        </w:rPr>
        <w:t>" means ordinary shares of £1.00 each in the capital of the Company, and "</w:t>
      </w:r>
      <w:r w:rsidRPr="008D36D8">
        <w:rPr>
          <w:rFonts w:ascii="Times New Roman" w:eastAsia="Times New Roman" w:hAnsi="Times New Roman" w:cs="Times New Roman"/>
          <w:b/>
          <w:bCs/>
          <w:kern w:val="0"/>
          <w:lang w:eastAsia="en-GB"/>
          <w14:ligatures w14:val="none"/>
        </w:rPr>
        <w:t>Share</w:t>
      </w:r>
      <w:r w:rsidRPr="008D36D8">
        <w:rPr>
          <w:rFonts w:ascii="Times New Roman" w:eastAsia="Times New Roman" w:hAnsi="Times New Roman" w:cs="Times New Roman"/>
          <w:kern w:val="0"/>
          <w:lang w:eastAsia="en-GB"/>
          <w14:ligatures w14:val="none"/>
        </w:rPr>
        <w:t>" shall be construed accordingly.</w:t>
      </w:r>
    </w:p>
    <w:p w14:paraId="309645E9"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1.4 Save as otherwise provided, words and expressions defined in the Model Articles bear the same meanings in these Articles.</w:t>
      </w:r>
    </w:p>
    <w:p w14:paraId="1004D496"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1.5 A reference to a statute or statutory provision includes any subordinate legislation made under it and is a reference to that provision as amended, extended, re-enacted or consolidated from time to time.</w:t>
      </w:r>
    </w:p>
    <w:p w14:paraId="245C4946"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1.6 Headings are for convenience only and do not affect construction.</w:t>
      </w:r>
    </w:p>
    <w:p w14:paraId="0373C08D"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17843294">
          <v:rect id="_x0000_i1043" style="width:0;height:1.5pt" o:hralign="center" o:hrstd="t" o:hr="t" fillcolor="#a0a0a0" stroked="f"/>
        </w:pict>
      </w:r>
    </w:p>
    <w:p w14:paraId="0AAE8498"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2. PRECEDENCE OF THE SHAREHOLDERS' AGREEMENT</w:t>
      </w:r>
    </w:p>
    <w:p w14:paraId="64216481"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lastRenderedPageBreak/>
        <w:t>2.1 Where any provision of these Articles conflicts or is inconsistent with any provision of the Shareholders' Agreement, the provision of the Shareholders' Agreement shall prevail as between the Members, and the Members shall exercise all voting rights and powers available to them so as to give effect to the Shareholders' Agreement and shall, if so required, procure such amendment to these Articles as may be necessary to remove the conflict.</w:t>
      </w:r>
    </w:p>
    <w:p w14:paraId="701985EC"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2.2 Article 2.1 does not affect the validity as against the Company or any third party of anything done in accordance with these Articles.</w:t>
      </w:r>
    </w:p>
    <w:p w14:paraId="1E339F81"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4C89C40F">
          <v:rect id="_x0000_i1042" style="width:0;height:1.5pt" o:hralign="center" o:hrstd="t" o:hr="t" fillcolor="#a0a0a0" stroked="f"/>
        </w:pict>
      </w:r>
    </w:p>
    <w:p w14:paraId="3D7AD993"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3. SHARE CAPITAL AND ALLOTMENT</w:t>
      </w:r>
    </w:p>
    <w:p w14:paraId="2CF9C1B5"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3.1 The Shares comprise a single class carrying identical rights as to income, capital and voting.</w:t>
      </w:r>
    </w:p>
    <w:p w14:paraId="0489066A"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3.2 The directors are generally and unconditionally authorised for the purposes of section 550 of the Act to exercise all powers of the Company to allot Shares, provided that no allotment shall be made otherwise than as a Material Decision.</w:t>
      </w:r>
    </w:p>
    <w:p w14:paraId="17C7B2D4"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3.3 Section 561 of the Act (existing members' right of pre-emption on allotment) is disapplied in relation to every allotment of Shares.</w:t>
      </w:r>
    </w:p>
    <w:p w14:paraId="632429D5"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3.4 The Company shall not allot any Share to any person, and no person shall be registered as a Member, unless and until that person has executed and delivered to the Company a Deed of Adherence.</w:t>
      </w:r>
    </w:p>
    <w:p w14:paraId="7D65C0C5"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68E97869">
          <v:rect id="_x0000_i1041" style="width:0;height:1.5pt" o:hralign="center" o:hrstd="t" o:hr="t" fillcolor="#a0a0a0" stroked="f"/>
        </w:pict>
      </w:r>
    </w:p>
    <w:p w14:paraId="43A13117"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4. LIEN</w:t>
      </w:r>
    </w:p>
    <w:p w14:paraId="19E50C02"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4.1 The Company shall have a first and paramount lien on every Share, whether or not fully paid, registered in the name of any person indebted or under any liability to the Company, for all monies payable by him or his estate to the Company.</w:t>
      </w:r>
    </w:p>
    <w:p w14:paraId="030A7B9A"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4.2 The directors may at any time declare any Share wholly or partly exempt from this Article 4.</w:t>
      </w:r>
    </w:p>
    <w:p w14:paraId="44347260"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26ADF280">
          <v:rect id="_x0000_i1040" style="width:0;height:1.5pt" o:hralign="center" o:hrstd="t" o:hr="t" fillcolor="#a0a0a0" stroked="f"/>
        </w:pict>
      </w:r>
    </w:p>
    <w:p w14:paraId="2B14A5E5"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5. QUORUM AND DIRECTORS' DECISION-MAKING</w:t>
      </w:r>
    </w:p>
    <w:p w14:paraId="522D0494"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5.1 The quorum for the transaction of business at a meeting of directors is two directors, save that no Material Decision may be taken at any meeting at which every director is not present or represented.</w:t>
      </w:r>
    </w:p>
    <w:p w14:paraId="2415790F"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lastRenderedPageBreak/>
        <w:t>5.2 A director shall be treated as present at a meeting of directors if he participates by telephone, video conference or any other means of communication permitting each participant to hear and be heard by every other participant.</w:t>
      </w:r>
    </w:p>
    <w:p w14:paraId="66D1FF60"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5.3 Subject to Article 5.4, questions arising at a meeting of directors shall be decided by a majority of votes, each director having one vote.</w:t>
      </w:r>
    </w:p>
    <w:p w14:paraId="213EF84B"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5.4 Where any matter is a Material Decision and the unanimous written consent of all directors has not been obtained within seven (7) calendar days of a formal written proposal served in accordance with the Shareholders' Agreement, the Founder, for so long as he holds office as a director, shall have a final and binding casting vote in respect of that matter, and his written determination shall be conclusive and binding upon the Company and upon every director, who shall exercise all voting rights and powers available to him so as to give effect thereto. The chairman of a meeting shall have no second or casting vote.</w:t>
      </w:r>
    </w:p>
    <w:p w14:paraId="07C816BD"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5.5 A decision of the directors may be taken in accordance with Article 5.6 (unanimous written decision) or at a meeting.</w:t>
      </w:r>
    </w:p>
    <w:p w14:paraId="221CFAB2"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5.6 A decision of the directors is taken in accordance with this Article 5.6 when all eligible directors indicate to each other by any means that they share a common view on a matter. Such a decision may take the form of a resolution in writing, copies of which have been signed by each eligible director or to which each eligible director has otherwise indicated agreement in writing.</w:t>
      </w:r>
    </w:p>
    <w:p w14:paraId="4CCA54AE"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08C8E7B9">
          <v:rect id="_x0000_i1039" style="width:0;height:1.5pt" o:hralign="center" o:hrstd="t" o:hr="t" fillcolor="#a0a0a0" stroked="f"/>
        </w:pict>
      </w:r>
    </w:p>
    <w:p w14:paraId="091F8522"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6. DIRECTORS' CONFLICTS OF INTEREST</w:t>
      </w:r>
    </w:p>
    <w:p w14:paraId="19432EBD"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6.1 For the purposes of section 175 of the Act, the directors may authorise any matter or situation proposed to them by any director which would, if not authorised, constitute or give rise to an infringement of the duty of a director to avoid a situation in which he has, or can have, a direct or indirect interest that conflicts, or possibly may conflict, with the interests of the Company.</w:t>
      </w:r>
    </w:p>
    <w:p w14:paraId="4164C3C7"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6.2 Authorisation under Article 6.1 is effective only if:</w:t>
      </w:r>
    </w:p>
    <w:p w14:paraId="51B78F32"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6.2.1 the matter has been proposed to the directors in writing for consideration at a meeting, or in such other manner as the directors may resolve;</w:t>
      </w:r>
    </w:p>
    <w:p w14:paraId="09FD4C35"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6.2.2 any requirement as to quorum at the meeting is met without counting the director in question or any other interested director; and</w:t>
      </w:r>
    </w:p>
    <w:p w14:paraId="556134F7"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6.2.3 the matter was agreed to without the interested director voting, or would have been agreed to if the votes of the interested directors had not been counted.</w:t>
      </w:r>
    </w:p>
    <w:p w14:paraId="0D39CBEA"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6.3 The directors may impose such terms upon any authorisation as they think fit, including the exclusion of the interested director from the receipt of information, from participation in discussion, and from the taking of decisions relating to the matter.</w:t>
      </w:r>
    </w:p>
    <w:p w14:paraId="7D507DDC"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lastRenderedPageBreak/>
        <w:t>6.4 Subject to Articles 6.2 and 6.3 and to any terms imposed, and provided that he has declared the nature and extent of his interest in accordance with sections 177 and 182 of the Act, a director who is in any way interested in a proposed or existing transaction or arrangement with the Company:</w:t>
      </w:r>
    </w:p>
    <w:p w14:paraId="13F9676C"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6.4.1 may be a party to or otherwise interested in that transaction or arrangement;</w:t>
      </w:r>
    </w:p>
    <w:p w14:paraId="62014F82"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6.4.2 shall be counted in the quorum and may vote at a meeting of directors in relation to it;</w:t>
      </w:r>
    </w:p>
    <w:p w14:paraId="67540DAF"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6.4.3 may act by himself or through his firm in a professional capacity for the Company and be remunerated therefor; and</w:t>
      </w:r>
    </w:p>
    <w:p w14:paraId="1E9DDC27"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6.4.4 shall not, by reason of his office, be accountable to the Company for any benefit derived from it, and no such transaction or arrangement shall be liable to be avoided on the ground of any such interest or benefit.</w:t>
      </w:r>
    </w:p>
    <w:p w14:paraId="29137506"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6.5 The Members may by ordinary resolution authorise any matter which would otherwise constitute or give rise to a breach of duty by a director.</w:t>
      </w:r>
    </w:p>
    <w:p w14:paraId="6A7D2B23"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6.6 For the avoidance of doubt, the interest of each director in the Shareholders' Agreement, in any deed of amendment to it, and in any remuneration side letter issued pursuant to it, is hereby authorised and disclosed, and no director shall by reason of that interest be prevented from voting or counting in the quorum.</w:t>
      </w:r>
    </w:p>
    <w:p w14:paraId="5EECD440"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3ADFC2FE">
          <v:rect id="_x0000_i1038" style="width:0;height:1.5pt" o:hralign="center" o:hrstd="t" o:hr="t" fillcolor="#a0a0a0" stroked="f"/>
        </w:pict>
      </w:r>
    </w:p>
    <w:p w14:paraId="3E9782BA"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7. INDEMNITY AND INSURANCE</w:t>
      </w:r>
    </w:p>
    <w:p w14:paraId="557EED7D"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7.1 Subject to Article 7.2, but without prejudice to any indemnity to which a relevant officer is otherwise entitled:</w:t>
      </w:r>
    </w:p>
    <w:p w14:paraId="0169BF0A"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7.1.1 each relevant officer shall be indemnified out of the Company's assets against all costs, charges, losses, expenses and liabilities incurred by him as a relevant officer in the actual or purported execution or discharge of his duties, or in relation to them, including any liability incurred in defending any civil or criminal proceedings in which judgment is given in his favour or in which he is acquitted, or in connection with any application in which the court grants him relief from liability for negligence, default, breach of duty or breach of trust; and</w:t>
      </w:r>
    </w:p>
    <w:p w14:paraId="50D281F4"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7.1.2 the Company may fund the expenditure of a relevant officer for the purposes permitted by sections 205 and 206 of the Act and may do anything to enable a relevant officer to avoid incurring such expenditure.</w:t>
      </w:r>
    </w:p>
    <w:p w14:paraId="36D044A2"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7.2 This Article 7 does not authorise any indemnity to the extent that it would be void under section 232 of the Act or otherwise prohibited by law.</w:t>
      </w:r>
    </w:p>
    <w:p w14:paraId="6EE5DBBB"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7.3 The directors may decide to purchase and maintain insurance, at the expense of the Company, for the benefit of any relevant officer in respect of any relevant loss.</w:t>
      </w:r>
    </w:p>
    <w:p w14:paraId="032B8FD2"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lastRenderedPageBreak/>
        <w:t>7.4 In this Article 7, "</w:t>
      </w:r>
      <w:r w:rsidRPr="008D36D8">
        <w:rPr>
          <w:rFonts w:ascii="Times New Roman" w:eastAsia="Times New Roman" w:hAnsi="Times New Roman" w:cs="Times New Roman"/>
          <w:b/>
          <w:bCs/>
          <w:kern w:val="0"/>
          <w:lang w:eastAsia="en-GB"/>
          <w14:ligatures w14:val="none"/>
        </w:rPr>
        <w:t>relevant officer</w:t>
      </w:r>
      <w:r w:rsidRPr="008D36D8">
        <w:rPr>
          <w:rFonts w:ascii="Times New Roman" w:eastAsia="Times New Roman" w:hAnsi="Times New Roman" w:cs="Times New Roman"/>
          <w:kern w:val="0"/>
          <w:lang w:eastAsia="en-GB"/>
          <w14:ligatures w14:val="none"/>
        </w:rPr>
        <w:t>" means any director or former director of the Company, and "</w:t>
      </w:r>
      <w:r w:rsidRPr="008D36D8">
        <w:rPr>
          <w:rFonts w:ascii="Times New Roman" w:eastAsia="Times New Roman" w:hAnsi="Times New Roman" w:cs="Times New Roman"/>
          <w:b/>
          <w:bCs/>
          <w:kern w:val="0"/>
          <w:lang w:eastAsia="en-GB"/>
          <w14:ligatures w14:val="none"/>
        </w:rPr>
        <w:t>relevant loss</w:t>
      </w:r>
      <w:r w:rsidRPr="008D36D8">
        <w:rPr>
          <w:rFonts w:ascii="Times New Roman" w:eastAsia="Times New Roman" w:hAnsi="Times New Roman" w:cs="Times New Roman"/>
          <w:kern w:val="0"/>
          <w:lang w:eastAsia="en-GB"/>
          <w14:ligatures w14:val="none"/>
        </w:rPr>
        <w:t>" means any loss or liability which has been or may be incurred by a relevant officer in connection with the duties, powers or office of that officer.</w:t>
      </w:r>
    </w:p>
    <w:p w14:paraId="39391A92"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6C2BBF2A">
          <v:rect id="_x0000_i1037" style="width:0;height:1.5pt" o:hralign="center" o:hrstd="t" o:hr="t" fillcolor="#a0a0a0" stroked="f"/>
        </w:pict>
      </w:r>
    </w:p>
    <w:p w14:paraId="5EBD1E1E"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8. GENERAL RESTRICTION ON TRANSFER</w:t>
      </w:r>
    </w:p>
    <w:p w14:paraId="183955E5"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8.1 No Member shall sell, transfer, assign, charge, pledge, mortgage, declare a trust over, grant an option over, or otherwise dispose of or create any Encumbrance over any Share or any legal or beneficial interest in any Share, save in accordance with Articles 9 to 16 and with the prior written consent of the Founder.</w:t>
      </w:r>
    </w:p>
    <w:p w14:paraId="6AA0E25E"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8.2 Any purported transfer or Encumbrance in breach of Article 8.1 is void and shall not be registered.</w:t>
      </w:r>
    </w:p>
    <w:p w14:paraId="3919287C"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8.3 The directors shall refuse to register any transfer of a Share unless:</w:t>
      </w:r>
    </w:p>
    <w:p w14:paraId="1532EBF3"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8.3.1 it is made in accordance with these Articles;</w:t>
      </w:r>
    </w:p>
    <w:p w14:paraId="5D928704"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8.3.2 the transferee has executed and delivered a Deed of Adherence; and</w:t>
      </w:r>
    </w:p>
    <w:p w14:paraId="59529811"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8.3.3 the instrument of transfer is duly stamped or is certified as exempt, is lodged at the registered office, and is accompanied by the relevant share certificate.</w:t>
      </w:r>
    </w:p>
    <w:p w14:paraId="50A0A86E"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8.4 The directors may in their absolute discretion, and without giving any reason, refuse to register the transfer of any Share, and Model Article 26(5) shall not apply.</w:t>
      </w:r>
    </w:p>
    <w:p w14:paraId="3E6A5F26"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8.5 A Member who wishes to transfer Shares shall notify the Company in writing, and the Company shall notify the Founder.</w:t>
      </w:r>
    </w:p>
    <w:p w14:paraId="11D110D2"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15BBA1C7">
          <v:rect id="_x0000_i1036" alt="" style="width:451.3pt;height:.05pt;mso-width-percent:0;mso-height-percent:0;mso-width-percent:0;mso-height-percent:0" o:hralign="center" o:hrstd="t" o:hr="t" fillcolor="#a0a0a0" stroked="f"/>
        </w:pict>
      </w:r>
    </w:p>
    <w:p w14:paraId="1C7EFDDE"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9. PERMITTED TRANSFERS</w:t>
      </w:r>
    </w:p>
    <w:p w14:paraId="4EDDDC41"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9.1 Notwithstanding Articles 8, 10 and 11, a Member may transfer Shares:</w:t>
      </w:r>
    </w:p>
    <w:p w14:paraId="305782B4"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9.1.1 with the prior written consent of the Founder and of the holders of not less than seventy-five per cent (75%) of the Shares in issue;</w:t>
      </w:r>
    </w:p>
    <w:p w14:paraId="283E0C1C"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9.1.2 to the personal representatives or beneficiaries of a deceased Member, subject always to Article 14; or</w:t>
      </w:r>
    </w:p>
    <w:p w14:paraId="6F63440B"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9.1.3 pursuant to Article 15 (drag-along) or Article 17 (tag-along).</w:t>
      </w:r>
    </w:p>
    <w:p w14:paraId="4E364AD6"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9.2 Every transferee under Article 9.1 shall execute and deliver a Deed of Adherence before registration.</w:t>
      </w:r>
    </w:p>
    <w:p w14:paraId="13E1E2B7"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lastRenderedPageBreak/>
        <w:t>9.3 A permitted transfer under Article 9.1.1 does not require compliance with the pre-emption provisions at Article 10.</w:t>
      </w:r>
    </w:p>
    <w:p w14:paraId="5BC33A54"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5ACDB8F1">
          <v:rect id="_x0000_i1035" alt="" style="width:451.3pt;height:.05pt;mso-width-percent:0;mso-height-percent:0;mso-width-percent:0;mso-height-percent:0" o:hralign="center" o:hrstd="t" o:hr="t" fillcolor="#a0a0a0" stroked="f"/>
        </w:pict>
      </w:r>
    </w:p>
    <w:p w14:paraId="6BA19D07"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10. PRE-EMPTION ON VOLUNTARY TRANSFER</w:t>
      </w:r>
    </w:p>
    <w:p w14:paraId="321200B1"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10.1 A Member wishing to transfer Shares other than under Article 9 (a "</w:t>
      </w:r>
      <w:r w:rsidRPr="008D36D8">
        <w:rPr>
          <w:rFonts w:ascii="Times New Roman" w:eastAsia="Times New Roman" w:hAnsi="Times New Roman" w:cs="Times New Roman"/>
          <w:b/>
          <w:bCs/>
          <w:kern w:val="0"/>
          <w:lang w:eastAsia="en-GB"/>
          <w14:ligatures w14:val="none"/>
        </w:rPr>
        <w:t>Selling Member</w:t>
      </w:r>
      <w:r w:rsidRPr="008D36D8">
        <w:rPr>
          <w:rFonts w:ascii="Times New Roman" w:eastAsia="Times New Roman" w:hAnsi="Times New Roman" w:cs="Times New Roman"/>
          <w:kern w:val="0"/>
          <w:lang w:eastAsia="en-GB"/>
          <w14:ligatures w14:val="none"/>
        </w:rPr>
        <w:t>") shall serve upon the Company a notice in writing (a "</w:t>
      </w:r>
      <w:r w:rsidRPr="008D36D8">
        <w:rPr>
          <w:rFonts w:ascii="Times New Roman" w:eastAsia="Times New Roman" w:hAnsi="Times New Roman" w:cs="Times New Roman"/>
          <w:b/>
          <w:bCs/>
          <w:kern w:val="0"/>
          <w:lang w:eastAsia="en-GB"/>
          <w14:ligatures w14:val="none"/>
        </w:rPr>
        <w:t>Transfer Notice</w:t>
      </w:r>
      <w:r w:rsidRPr="008D36D8">
        <w:rPr>
          <w:rFonts w:ascii="Times New Roman" w:eastAsia="Times New Roman" w:hAnsi="Times New Roman" w:cs="Times New Roman"/>
          <w:kern w:val="0"/>
          <w:lang w:eastAsia="en-GB"/>
          <w14:ligatures w14:val="none"/>
        </w:rPr>
        <w:t>") specifying:</w:t>
      </w:r>
    </w:p>
    <w:p w14:paraId="77B15665"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10.1.1 the number of Shares he wishes to transfer (the "</w:t>
      </w:r>
      <w:r w:rsidRPr="008D36D8">
        <w:rPr>
          <w:rFonts w:ascii="Times New Roman" w:eastAsia="Times New Roman" w:hAnsi="Times New Roman" w:cs="Times New Roman"/>
          <w:b/>
          <w:bCs/>
          <w:kern w:val="0"/>
          <w:lang w:eastAsia="en-GB"/>
          <w14:ligatures w14:val="none"/>
        </w:rPr>
        <w:t>Sale Shares</w:t>
      </w:r>
      <w:r w:rsidRPr="008D36D8">
        <w:rPr>
          <w:rFonts w:ascii="Times New Roman" w:eastAsia="Times New Roman" w:hAnsi="Times New Roman" w:cs="Times New Roman"/>
          <w:kern w:val="0"/>
          <w:lang w:eastAsia="en-GB"/>
          <w14:ligatures w14:val="none"/>
        </w:rPr>
        <w:t>");</w:t>
      </w:r>
    </w:p>
    <w:p w14:paraId="694C678F"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10.1.2 the price per Share at which he wishes to transfer them; and</w:t>
      </w:r>
    </w:p>
    <w:p w14:paraId="332DD75B"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10.1.3 whether the Transfer Notice is conditional upon all, and not part only, of the Sale Shares being sold.</w:t>
      </w:r>
    </w:p>
    <w:p w14:paraId="00AB81F3"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10.2 A Transfer Notice, once served, is irrevocable save with the written consent of the Founder, and constitutes the Company the agent of the Selling Member for the sale of the Sale Shares upon the terms of these Articles.</w:t>
      </w:r>
    </w:p>
    <w:p w14:paraId="4EA4EA1E"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10.3 Within ten (10) Business Days of receipt of a Transfer Notice, the Founder may by notice in writing elect that the price shall be Fair Value rather than the price specified under Article 10.1.2, in which case the Company shall procure a determination in accordance with Article 16.</w:t>
      </w:r>
    </w:p>
    <w:p w14:paraId="27B66C80"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10.4 The Company shall offer the Sale Shares to the Members other than the Selling Member, in proportion as nearly as may be to their existing holdings, at the applicable price, by notice specifying the number offered, the price and a period of not less than twenty (20) Business Days within which the offer may be accepted.</w:t>
      </w:r>
    </w:p>
    <w:p w14:paraId="1C6D2326"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10.5 Sale Shares not accepted within the period at Article 10.4 shall be offered by further notice to those Members who accepted their full entitlement, in proportion to their holdings, for a further period of ten (10) Business Days.</w:t>
      </w:r>
    </w:p>
    <w:p w14:paraId="21EA2892"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10.6 Where all the Sale Shares are allocated under Articles 10.4 and 10.5, the Company shall notify the Selling Member, who shall be bound upon payment of the price to transfer the Sale Shares to the allocated Members.</w:t>
      </w:r>
    </w:p>
    <w:p w14:paraId="2F23329F"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10.7 Where Sale Shares remain unallocated, then:</w:t>
      </w:r>
    </w:p>
    <w:p w14:paraId="7459BF79"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10.7.1 where the Transfer Notice was conditional under Article 10.1.3 and not all Sale Shares have been allocated, no Sale Shares shall be transferred under this Article 10; and</w:t>
      </w:r>
    </w:p>
    <w:p w14:paraId="32136A43"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10.7.2 otherwise, the Selling Member may, within sixty (60) days and with the prior written consent of the Founder (such consent not to be unreasonably withheld where the proposed transferee is not a competitor of the Company and executes a Deed of Adherence), transfer the unallocated Sale Shares to a bona fide third party at a price not less than the applicable price and otherwise upon terms no more favourable than those offered to the Members.</w:t>
      </w:r>
    </w:p>
    <w:p w14:paraId="2DE055FF"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lastRenderedPageBreak/>
        <w:t>10.8 If a Selling Member fails to transfer Sale Shares when bound to do so, Article 13 shall apply.</w:t>
      </w:r>
    </w:p>
    <w:p w14:paraId="124FE052"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7624280C">
          <v:rect id="_x0000_i1034" style="width:0;height:1.5pt" o:hralign="center" o:hrstd="t" o:hr="t" fillcolor="#a0a0a0" stroked="f"/>
        </w:pict>
      </w:r>
    </w:p>
    <w:p w14:paraId="1D5D649C"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11. COMPULSORY TRANSFER — DEEMED TRANSFER NOTICE</w:t>
      </w:r>
    </w:p>
    <w:p w14:paraId="22E97EB4"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11.1 A Transfer Notice shall be deemed to have been served by a Member in respect of all Shares registered in his name, at the price determined under Article 12, immediately upon the occurrence of any of the following events:</w:t>
      </w:r>
    </w:p>
    <w:p w14:paraId="72AE848C"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11.1.1 he ceases for any reason to hold office as a director of the Company, and the Founder determines under the Shareholders' Agreement that he is required to transfer his Shares;</w:t>
      </w:r>
    </w:p>
    <w:p w14:paraId="2C1FE1CD"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11.1.2 he is removed from office as a director pursuant to the performance provisions of the Shareholders' Agreement, or by ordinary resolution under section 168 of the Act;</w:t>
      </w:r>
    </w:p>
    <w:p w14:paraId="5E264160"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11.1.3 he becomes bankrupt, applies for an interim order, or enters into any voluntary arrangement or composition with his creditors generally;</w:t>
      </w:r>
    </w:p>
    <w:p w14:paraId="7CA6D9C9"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11.1.4 he purports to transfer, charge or otherwise dispose of any Share or interest therein in breach of Article 8;</w:t>
      </w:r>
    </w:p>
    <w:p w14:paraId="27FDF306"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11.1.5 he commits a material breach of the Shareholders' Agreement which, if capable of remedy, is not remedied within twenty-one (21) days of written notice requiring remedy;</w:t>
      </w:r>
    </w:p>
    <w:p w14:paraId="54610286"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11.1.6 being a body corporate, it undergoes a change of Controlling Interest; or</w:t>
      </w:r>
    </w:p>
    <w:p w14:paraId="28AAA440"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11.1.7 he dies, in which case Article 14 applies.</w:t>
      </w:r>
    </w:p>
    <w:p w14:paraId="356BEF5C"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11.2 A deemed Transfer Notice is not conditional under Article 10.1.3 and may not be withdrawn.</w:t>
      </w:r>
    </w:p>
    <w:p w14:paraId="08CA7A89"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11.3 Shares the subject of a deemed Transfer Notice shall be offered first to the Founder, who shall have twenty (20) Business Days within which to accept in whole or in part; thereafter to the remaining Members in proportion to their existing holdings for a further twenty (20) Business Days; and thereafter, to the extent not taken up, may be purchased by the Company itself out of distributable profits in accordance with Chapter 4 of Part 18 of the Act, subject to the Company complying with the requirements of that Chapter.</w:t>
      </w:r>
    </w:p>
    <w:p w14:paraId="5ACB92A4"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11.4 Pending completion of a transfer under this Article 11, the Member concerned shall not be entitled to exercise any voting right attaching to the Shares, and shall if so required by the directors appoint the Founder as his proxy in respect of them.</w:t>
      </w:r>
    </w:p>
    <w:p w14:paraId="4EC5723F"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6B6755DF">
          <v:rect id="_x0000_i1033" style="width:0;height:1.5pt" o:hralign="center" o:hrstd="t" o:hr="t" fillcolor="#a0a0a0" stroked="f"/>
        </w:pict>
      </w:r>
    </w:p>
    <w:p w14:paraId="07BCBE78"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12. LEAVER PRICING</w:t>
      </w:r>
    </w:p>
    <w:p w14:paraId="6EE3C46D"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lastRenderedPageBreak/>
        <w:t>12.1 The price payable for Shares the subject of a deemed Transfer Notice under Article 11 shall be:</w:t>
      </w:r>
    </w:p>
    <w:p w14:paraId="32F38AB3"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12.1.1 where the Member is a Good Leaver, the Fair Value of those Shares; and</w:t>
      </w:r>
    </w:p>
    <w:p w14:paraId="441CCDAB"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12.1.2 where the Member is a Bad Leaver, the lower of (a) the nominal value of those Shares and (b) fifty per cent (50%) of their Fair Value.</w:t>
      </w:r>
    </w:p>
    <w:p w14:paraId="200AEE64"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12.2 Whether a Member is a Good Leaver or a Bad Leaver shall be determined in accordance with the Shareholders' Agreement, and the written determination of the Founder shall, in the absence of manifest error or bad faith, be conclusive and binding for the purposes of these Articles.</w:t>
      </w:r>
    </w:p>
    <w:p w14:paraId="5E6840ED"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12.3 Where no Shareholders' Agreement is in force, a Member shall be treated as a Good Leaver where he ceases to hold office by reason of death, permanent incapacity, or retirement or resignation with the prior written consent of the Founder, and as a Bad Leaver in every other case.</w:t>
      </w:r>
    </w:p>
    <w:p w14:paraId="608FB2B1"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12.4 The purchaser may, at its election, pay the price in up to four (4) equal quarterly instalments commencing three (3) months after the date of transfer, together with interest on the outstanding balance at two per cent (2%) per annum above the base rate of the Bank of England from time to time, where payment in full would in the reasonable opinion of the directors prejudice the working capital or the solvency of the Company.</w:t>
      </w:r>
    </w:p>
    <w:p w14:paraId="03C70E0A"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12.5 The Company may set off against the price any sum owing by the transferor to the Company.</w:t>
      </w:r>
    </w:p>
    <w:p w14:paraId="06725207"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113DC4FA">
          <v:rect id="_x0000_i1032" style="width:0;height:1.5pt" o:hralign="center" o:hrstd="t" o:hr="t" fillcolor="#a0a0a0" stroked="f"/>
        </w:pict>
      </w:r>
    </w:p>
    <w:p w14:paraId="6AC19974"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13. DEFAULT ON TRANSFER</w:t>
      </w:r>
    </w:p>
    <w:p w14:paraId="2028D8D9"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13.1 If a Member fails to execute and deliver an instrument of transfer in respect of Shares which he is bound to transfer under these Articles within ten (10) Business Days of being required to do so, the directors may authorise any director to execute the instrument of transfer on his behalf and as his attorney.</w:t>
      </w:r>
    </w:p>
    <w:p w14:paraId="5A13D146"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13.2 The Company may receive the price and hold it on trust for the transferor, without any obligation to pay interest, and shall enter the transferee in the register of members.</w:t>
      </w:r>
    </w:p>
    <w:p w14:paraId="45505F78"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13.3 The receipt of the Company for the price shall be a good discharge to the transferee, whose title shall not be affected by any irregularity in or invalidity of the proceedings, and the validity of the transfer shall not be questioned by any person.</w:t>
      </w:r>
    </w:p>
    <w:p w14:paraId="376B4DCB"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13.4 The transferor shall surrender his share certificate, and upon surrender shall be entitled to the price.</w:t>
      </w:r>
    </w:p>
    <w:p w14:paraId="2A943E5D"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56102885">
          <v:rect id="_x0000_i1031" style="width:0;height:1.5pt" o:hralign="center" o:hrstd="t" o:hr="t" fillcolor="#a0a0a0" stroked="f"/>
        </w:pict>
      </w:r>
    </w:p>
    <w:p w14:paraId="1429328E"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14. TRANSMISSION ON DEATH</w:t>
      </w:r>
    </w:p>
    <w:p w14:paraId="0B8530FB"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lastRenderedPageBreak/>
        <w:t>14.1 On the death of a Member, the survivors where he was a joint holder, and his personal representatives where he was a sole holder, shall be the only persons recognised by the Company as having any title to his Shares.</w:t>
      </w:r>
    </w:p>
    <w:p w14:paraId="0FB4B3ED"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14.2 A transmittee shall be entitled to be registered as a Member, or to nominate a person for registration, only in accordance with these Articles and subject always to Article 14.3, and shall execute a Deed of Adherence before registration.</w:t>
      </w:r>
    </w:p>
    <w:p w14:paraId="22673B0E"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14.3 A deemed Transfer Notice shall be given in respect of the Shares of a deceased Member by his personal representatives upon the expiry of six (6) months from the date of death, and the Shares shall thereupon be dealt with under Articles 11 to 13 at Fair Value, the deceased Member being treated as a Good Leaver unless the Founder determines otherwise on the ground of conduct occurring before death which would have made him a Bad Leaver.</w:t>
      </w:r>
    </w:p>
    <w:p w14:paraId="6D514526"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14.4 A transmittee who has not been registered as a Member has no right to attend or vote at any general meeting in respect of the Shares to which he is entitled.</w:t>
      </w:r>
    </w:p>
    <w:p w14:paraId="61D6C46E"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0D52B6DD">
          <v:rect id="_x0000_i1030" style="width:0;height:1.5pt" o:hralign="center" o:hrstd="t" o:hr="t" fillcolor="#a0a0a0" stroked="f"/>
        </w:pict>
      </w:r>
    </w:p>
    <w:p w14:paraId="073A92F2"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15. DRAG-ALONG</w:t>
      </w:r>
    </w:p>
    <w:p w14:paraId="6D23FF5D"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15.1 Where the holders of Shares conferring in aggregate a Controlling Interest (the "</w:t>
      </w:r>
      <w:r w:rsidRPr="008D36D8">
        <w:rPr>
          <w:rFonts w:ascii="Times New Roman" w:eastAsia="Times New Roman" w:hAnsi="Times New Roman" w:cs="Times New Roman"/>
          <w:b/>
          <w:bCs/>
          <w:kern w:val="0"/>
          <w:lang w:eastAsia="en-GB"/>
          <w14:ligatures w14:val="none"/>
        </w:rPr>
        <w:t>Selling Majority</w:t>
      </w:r>
      <w:r w:rsidRPr="008D36D8">
        <w:rPr>
          <w:rFonts w:ascii="Times New Roman" w:eastAsia="Times New Roman" w:hAnsi="Times New Roman" w:cs="Times New Roman"/>
          <w:kern w:val="0"/>
          <w:lang w:eastAsia="en-GB"/>
          <w14:ligatures w14:val="none"/>
        </w:rPr>
        <w:t>") wish to transfer all of their Shares to a bona fide purchaser dealing at arm's length (the "</w:t>
      </w:r>
      <w:r w:rsidRPr="008D36D8">
        <w:rPr>
          <w:rFonts w:ascii="Times New Roman" w:eastAsia="Times New Roman" w:hAnsi="Times New Roman" w:cs="Times New Roman"/>
          <w:b/>
          <w:bCs/>
          <w:kern w:val="0"/>
          <w:lang w:eastAsia="en-GB"/>
          <w14:ligatures w14:val="none"/>
        </w:rPr>
        <w:t>Proposed Buyer</w:t>
      </w:r>
      <w:r w:rsidRPr="008D36D8">
        <w:rPr>
          <w:rFonts w:ascii="Times New Roman" w:eastAsia="Times New Roman" w:hAnsi="Times New Roman" w:cs="Times New Roman"/>
          <w:kern w:val="0"/>
          <w:lang w:eastAsia="en-GB"/>
          <w14:ligatures w14:val="none"/>
        </w:rPr>
        <w:t>"), the Selling Majority may serve written notice (a "</w:t>
      </w:r>
      <w:r w:rsidRPr="008D36D8">
        <w:rPr>
          <w:rFonts w:ascii="Times New Roman" w:eastAsia="Times New Roman" w:hAnsi="Times New Roman" w:cs="Times New Roman"/>
          <w:b/>
          <w:bCs/>
          <w:kern w:val="0"/>
          <w:lang w:eastAsia="en-GB"/>
          <w14:ligatures w14:val="none"/>
        </w:rPr>
        <w:t>Drag Notice</w:t>
      </w:r>
      <w:r w:rsidRPr="008D36D8">
        <w:rPr>
          <w:rFonts w:ascii="Times New Roman" w:eastAsia="Times New Roman" w:hAnsi="Times New Roman" w:cs="Times New Roman"/>
          <w:kern w:val="0"/>
          <w:lang w:eastAsia="en-GB"/>
          <w14:ligatures w14:val="none"/>
        </w:rPr>
        <w:t>") upon each other Member (a "</w:t>
      </w:r>
      <w:r w:rsidRPr="008D36D8">
        <w:rPr>
          <w:rFonts w:ascii="Times New Roman" w:eastAsia="Times New Roman" w:hAnsi="Times New Roman" w:cs="Times New Roman"/>
          <w:b/>
          <w:bCs/>
          <w:kern w:val="0"/>
          <w:lang w:eastAsia="en-GB"/>
          <w14:ligatures w14:val="none"/>
        </w:rPr>
        <w:t>Dragged Member</w:t>
      </w:r>
      <w:r w:rsidRPr="008D36D8">
        <w:rPr>
          <w:rFonts w:ascii="Times New Roman" w:eastAsia="Times New Roman" w:hAnsi="Times New Roman" w:cs="Times New Roman"/>
          <w:kern w:val="0"/>
          <w:lang w:eastAsia="en-GB"/>
          <w14:ligatures w14:val="none"/>
        </w:rPr>
        <w:t>") requiring him to transfer all of his Shares to the Proposed Buyer or its nominee.</w:t>
      </w:r>
    </w:p>
    <w:p w14:paraId="19088E7F"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15.2 A Drag Notice shall specify the identity of the Proposed Buyer, the price per Share, the other material terms, and the proposed date of completion, being not less than ten (10) Business Days after the date of the Drag Notice.</w:t>
      </w:r>
    </w:p>
    <w:p w14:paraId="784F4D6A"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15.3 The Shares of the Dragged Members shall be transferred on the same terms and at the same price per Share as those agreed between the Selling Majority and the Proposed Buyer, and completion shall take place on the same date.</w:t>
      </w:r>
    </w:p>
    <w:p w14:paraId="1559CCF4"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15.4 A Dragged Member shall not be required to give any warranty, representation, indemnity or covenant to the Proposed Buyer other than as to his title to his Shares, his capacity, and his authority to transfer them free from Encumbrances.</w:t>
      </w:r>
    </w:p>
    <w:p w14:paraId="31186044"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15.5 Articles 10 and 11 do not apply to a transfer under this Article 15.</w:t>
      </w:r>
    </w:p>
    <w:p w14:paraId="0F31F051"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15.6 If a Dragged Member fails to transfer his Shares in accordance with a Drag Notice, Article 13 applies.</w:t>
      </w:r>
    </w:p>
    <w:p w14:paraId="09DCFE37"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15.7 A Drag Notice lapses if the sale to the Proposed Buyer has not completed within ninety (90) days of its service.</w:t>
      </w:r>
    </w:p>
    <w:p w14:paraId="7E112C97"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488B9D11">
          <v:rect id="_x0000_i1029" style="width:0;height:1.5pt" o:hralign="center" o:hrstd="t" o:hr="t" fillcolor="#a0a0a0" stroked="f"/>
        </w:pict>
      </w:r>
    </w:p>
    <w:p w14:paraId="73E887ED"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lastRenderedPageBreak/>
        <w:t>16. TAG-ALONG</w:t>
      </w:r>
    </w:p>
    <w:p w14:paraId="3AB37EAB"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16.1 Save where a Drag Notice has been served, no transfer of Shares which would, if registered, confer upon any person together with persons acting in concert with him a Controlling Interest shall be made or registered unless the proposed transferee shall first have made an offer in writing to each other Member to purchase all of the Shares held by him upon the same terms and at the same price per Share.</w:t>
      </w:r>
    </w:p>
    <w:p w14:paraId="130F2B6F"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16.2 An offer under Article 16.1 shall remain open for acceptance for not less than twenty (20) Business Days, and shall be conditional only upon the completion of the transfer which gave rise to it.</w:t>
      </w:r>
    </w:p>
    <w:p w14:paraId="4801F579"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16.3 Articles 10 and 11 do not apply to a transfer made pursuant to an accepted offer under this Article 16.</w:t>
      </w:r>
    </w:p>
    <w:p w14:paraId="0E330CFC"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060B5BEE">
          <v:rect id="_x0000_i1028" alt="" style="width:451.3pt;height:.05pt;mso-width-percent:0;mso-height-percent:0;mso-width-percent:0;mso-height-percent:0" o:hralign="center" o:hrstd="t" o:hr="t" fillcolor="#a0a0a0" stroked="f"/>
        </w:pict>
      </w:r>
    </w:p>
    <w:p w14:paraId="5785D3D9"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17. FAIR VALUE</w:t>
      </w:r>
    </w:p>
    <w:p w14:paraId="441CFD6E"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17.1 Where Fair Value falls to be determined, the directors (excluding, where applicable, the director whose Shares are concerned) and the transferor shall first seek to agree it in writing within twenty (20) Business Days.</w:t>
      </w:r>
    </w:p>
    <w:p w14:paraId="27333762"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17.2 In default of agreement, Fair Value shall be determined by an independent chartered accountant of not less than ten (10) years' standing (the "</w:t>
      </w:r>
      <w:r w:rsidRPr="008D36D8">
        <w:rPr>
          <w:rFonts w:ascii="Times New Roman" w:eastAsia="Times New Roman" w:hAnsi="Times New Roman" w:cs="Times New Roman"/>
          <w:b/>
          <w:bCs/>
          <w:kern w:val="0"/>
          <w:lang w:eastAsia="en-GB"/>
          <w14:ligatures w14:val="none"/>
        </w:rPr>
        <w:t>Valuer</w:t>
      </w:r>
      <w:r w:rsidRPr="008D36D8">
        <w:rPr>
          <w:rFonts w:ascii="Times New Roman" w:eastAsia="Times New Roman" w:hAnsi="Times New Roman" w:cs="Times New Roman"/>
          <w:kern w:val="0"/>
          <w:lang w:eastAsia="en-GB"/>
          <w14:ligatures w14:val="none"/>
        </w:rPr>
        <w:t>") agreed between the Founder and the transferor or, in default of agreement within ten (10) Business Days, appointed on the application of either of them by the President for the time being of the Institute of Chartered Accountants in England and Wales.</w:t>
      </w:r>
    </w:p>
    <w:p w14:paraId="72E07CF2"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17.3 The Valuer shall act as an expert and not as an arbitrator. His determination shall, save in the case of manifest error or fraud, be final and binding. The Arbitration Act 1996 shall not apply.</w:t>
      </w:r>
    </w:p>
    <w:p w14:paraId="292641A8"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17.4 The Valuer shall determine Fair Value:</w:t>
      </w:r>
    </w:p>
    <w:p w14:paraId="3BB19988"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17.4.1 by reference to the value of the Company as a going concern as between a willing seller and a willing buyer acting at arm's length;</w:t>
      </w:r>
    </w:p>
    <w:p w14:paraId="275BC588"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17.4.2 disregarding any discount or premium referable to the size of the holding or to whether it confers control;</w:t>
      </w:r>
    </w:p>
    <w:p w14:paraId="06B5C50E"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17.4.3 disregarding any restriction on transferability arising under these Articles or the Shareholders' Agreement;</w:t>
      </w:r>
    </w:p>
    <w:p w14:paraId="06556AFA"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17.4.4 having regard to the last accounts of the Company and to the management accounts for any subsequent period;</w:t>
      </w:r>
    </w:p>
    <w:p w14:paraId="15F5B7D7"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17.4.5 disregarding any increase or diminution in value attributable to the circumstances giving rise to the transfer; and</w:t>
      </w:r>
    </w:p>
    <w:p w14:paraId="0E9A5D5E"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lastRenderedPageBreak/>
        <w:t>17.4.6 having regard to the fact that any contractual profit-sharing arrangement between the Company and any person confers no interest in the share capital of the Company.</w:t>
      </w:r>
    </w:p>
    <w:p w14:paraId="52FCA3B5"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17.5 The costs of the Valuer shall be borne as to one half by the Company and as to one half by the transferor, save that where the Fair Value determined differs by less than ten per cent (10%) from the figure last contended for by one party, the costs shall be borne by the other party.</w:t>
      </w:r>
    </w:p>
    <w:p w14:paraId="41213850"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17.6 The Valuer shall be instructed to render his determination within thirty (30) days of appointment, and each party shall give him such information and access as he reasonably requires.</w:t>
      </w:r>
    </w:p>
    <w:p w14:paraId="327A1B92"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1BB1D3F0">
          <v:rect id="_x0000_i1027" alt="" style="width:451.3pt;height:.05pt;mso-width-percent:0;mso-height-percent:0;mso-width-percent:0;mso-height-percent:0" o:hralign="center" o:hrstd="t" o:hr="t" fillcolor="#a0a0a0" stroked="f"/>
        </w:pict>
      </w:r>
    </w:p>
    <w:p w14:paraId="118086F6"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18. PROXIES AND GENERAL MEETINGS</w:t>
      </w:r>
    </w:p>
    <w:p w14:paraId="0AC63375"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18.1 A proxy notice shall be delivered to the Company not less than twenty-four (24) hours before the time appointed for the meeting, or such shorter period as the chairman may permit.</w:t>
      </w:r>
    </w:p>
    <w:p w14:paraId="70B0C9CC"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18.2 The quorum for a general meeting is two Members present in person or by proxy, save that where the Company has only one Member, that Member present in person or by proxy constitutes a quorum.</w:t>
      </w:r>
    </w:p>
    <w:p w14:paraId="493A7D16"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60DFD866">
          <v:rect id="_x0000_i1026" alt="" style="width:451.3pt;height:.05pt;mso-width-percent:0;mso-height-percent:0;mso-width-percent:0;mso-height-percent:0" o:hralign="center" o:hrstd="t" o:hr="t" fillcolor="#a0a0a0" stroked="f"/>
        </w:pict>
      </w:r>
    </w:p>
    <w:p w14:paraId="63DD9712"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19. NOTICES</w:t>
      </w:r>
    </w:p>
    <w:p w14:paraId="46F984D3"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19.1 Any notice given under these Articles shall be in writing and may be delivered by hand, sent by pre-paid first class post, or sent by electronic means to an address notified for that purpose.</w:t>
      </w:r>
    </w:p>
    <w:p w14:paraId="6D697315"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19.2 A notice is deemed received: if delivered by hand, at the time of delivery; if posted, at 9.00 a.m. on the second Business Day after posting; and if sent by electronic means, at the time of transmission or, where transmission occurs outside the hours of 9.00 a.m. to 5.00 p.m. on a Business Day, when those hours next resume.</w:t>
      </w:r>
    </w:p>
    <w:p w14:paraId="0170E412" w14:textId="77777777" w:rsidR="008D36D8" w:rsidRPr="008D36D8" w:rsidRDefault="00DB2D69" w:rsidP="008D36D8">
      <w:pPr>
        <w:rPr>
          <w:rFonts w:ascii="Times New Roman" w:eastAsia="Times New Roman" w:hAnsi="Times New Roman" w:cs="Times New Roman"/>
          <w:kern w:val="0"/>
          <w:lang w:eastAsia="en-GB"/>
          <w14:ligatures w14:val="none"/>
        </w:rPr>
      </w:pPr>
      <w:r w:rsidRPr="00DB2D69">
        <w:rPr>
          <w:rFonts w:ascii="Times New Roman" w:eastAsia="Times New Roman" w:hAnsi="Times New Roman" w:cs="Times New Roman"/>
          <w:noProof/>
          <w:kern w:val="0"/>
          <w:lang w:eastAsia="en-GB"/>
        </w:rPr>
        <w:pict w14:anchorId="52B7E3BD">
          <v:rect id="_x0000_i1025" style="width:0;height:1.5pt" o:hralign="center" o:hrstd="t" o:hr="t" fillcolor="#a0a0a0" stroked="f"/>
        </w:pict>
      </w:r>
    </w:p>
    <w:p w14:paraId="62EA282E" w14:textId="77777777" w:rsidR="008D36D8" w:rsidRPr="008D36D8" w:rsidRDefault="008D36D8" w:rsidP="008D36D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D36D8">
        <w:rPr>
          <w:rFonts w:ascii="Times New Roman" w:eastAsia="Times New Roman" w:hAnsi="Times New Roman" w:cs="Times New Roman"/>
          <w:b/>
          <w:bCs/>
          <w:kern w:val="0"/>
          <w:sz w:val="36"/>
          <w:szCs w:val="36"/>
          <w:lang w:eastAsia="en-GB"/>
          <w14:ligatures w14:val="none"/>
        </w:rPr>
        <w:t>20. DISTRIBUTIONS</w:t>
      </w:r>
    </w:p>
    <w:p w14:paraId="4C145BE8"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20.1 The Company may pay dividends only in accordance with Part 23 of the Act and only where the making of the distribution is a Material Decision taken in accordance with the Shareholders' Agreement.</w:t>
      </w:r>
    </w:p>
    <w:p w14:paraId="4416A780" w14:textId="77777777" w:rsidR="008D36D8" w:rsidRPr="008D36D8" w:rsidRDefault="008D36D8" w:rsidP="008D36D8">
      <w:pPr>
        <w:spacing w:before="100" w:beforeAutospacing="1" w:after="100" w:afterAutospacing="1"/>
        <w:rPr>
          <w:rFonts w:ascii="Times New Roman" w:eastAsia="Times New Roman" w:hAnsi="Times New Roman" w:cs="Times New Roman"/>
          <w:kern w:val="0"/>
          <w:lang w:eastAsia="en-GB"/>
          <w14:ligatures w14:val="none"/>
        </w:rPr>
      </w:pPr>
      <w:r w:rsidRPr="008D36D8">
        <w:rPr>
          <w:rFonts w:ascii="Times New Roman" w:eastAsia="Times New Roman" w:hAnsi="Times New Roman" w:cs="Times New Roman"/>
          <w:kern w:val="0"/>
          <w:lang w:eastAsia="en-GB"/>
          <w14:ligatures w14:val="none"/>
        </w:rPr>
        <w:t>20.2 For the avoidance of doubt, any contractual profit-sharing arrangement between the Company and any person is not a distribution in respect of Shares and confers no right to a dividend.</w:t>
      </w:r>
    </w:p>
    <w:p w14:paraId="0991C3E2"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6D8"/>
    <w:rsid w:val="003E4C6F"/>
    <w:rsid w:val="006E783B"/>
    <w:rsid w:val="008D36D8"/>
    <w:rsid w:val="00DB2D69"/>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25168"/>
  <w15:chartTrackingRefBased/>
  <w15:docId w15:val="{4AC82DB3-267E-3346-9A1C-C08370426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3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6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6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6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6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6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6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6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6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36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6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6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6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6D8"/>
    <w:rPr>
      <w:rFonts w:eastAsiaTheme="majorEastAsia" w:cstheme="majorBidi"/>
      <w:color w:val="272727" w:themeColor="text1" w:themeTint="D8"/>
    </w:rPr>
  </w:style>
  <w:style w:type="paragraph" w:styleId="Title">
    <w:name w:val="Title"/>
    <w:basedOn w:val="Normal"/>
    <w:next w:val="Normal"/>
    <w:link w:val="TitleChar"/>
    <w:uiPriority w:val="10"/>
    <w:qFormat/>
    <w:rsid w:val="008D36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6D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6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36D8"/>
    <w:rPr>
      <w:i/>
      <w:iCs/>
      <w:color w:val="404040" w:themeColor="text1" w:themeTint="BF"/>
    </w:rPr>
  </w:style>
  <w:style w:type="paragraph" w:styleId="ListParagraph">
    <w:name w:val="List Paragraph"/>
    <w:basedOn w:val="Normal"/>
    <w:uiPriority w:val="34"/>
    <w:qFormat/>
    <w:rsid w:val="008D36D8"/>
    <w:pPr>
      <w:ind w:left="720"/>
      <w:contextualSpacing/>
    </w:pPr>
  </w:style>
  <w:style w:type="character" w:styleId="IntenseEmphasis">
    <w:name w:val="Intense Emphasis"/>
    <w:basedOn w:val="DefaultParagraphFont"/>
    <w:uiPriority w:val="21"/>
    <w:qFormat/>
    <w:rsid w:val="008D36D8"/>
    <w:rPr>
      <w:i/>
      <w:iCs/>
      <w:color w:val="0F4761" w:themeColor="accent1" w:themeShade="BF"/>
    </w:rPr>
  </w:style>
  <w:style w:type="paragraph" w:styleId="IntenseQuote">
    <w:name w:val="Intense Quote"/>
    <w:basedOn w:val="Normal"/>
    <w:next w:val="Normal"/>
    <w:link w:val="IntenseQuoteChar"/>
    <w:uiPriority w:val="30"/>
    <w:qFormat/>
    <w:rsid w:val="008D3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6D8"/>
    <w:rPr>
      <w:i/>
      <w:iCs/>
      <w:color w:val="0F4761" w:themeColor="accent1" w:themeShade="BF"/>
    </w:rPr>
  </w:style>
  <w:style w:type="character" w:styleId="IntenseReference">
    <w:name w:val="Intense Reference"/>
    <w:basedOn w:val="DefaultParagraphFont"/>
    <w:uiPriority w:val="32"/>
    <w:qFormat/>
    <w:rsid w:val="008D36D8"/>
    <w:rPr>
      <w:b/>
      <w:bCs/>
      <w:smallCaps/>
      <w:color w:val="0F4761" w:themeColor="accent1" w:themeShade="BF"/>
      <w:spacing w:val="5"/>
    </w:rPr>
  </w:style>
  <w:style w:type="paragraph" w:styleId="NormalWeb">
    <w:name w:val="Normal (Web)"/>
    <w:basedOn w:val="Normal"/>
    <w:uiPriority w:val="99"/>
    <w:semiHidden/>
    <w:unhideWhenUsed/>
    <w:rsid w:val="008D36D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D36D8"/>
    <w:rPr>
      <w:b/>
      <w:bCs/>
    </w:rPr>
  </w:style>
  <w:style w:type="character" w:styleId="Emphasis">
    <w:name w:val="Emphasis"/>
    <w:basedOn w:val="DefaultParagraphFont"/>
    <w:uiPriority w:val="20"/>
    <w:qFormat/>
    <w:rsid w:val="008D36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4008</Words>
  <Characters>22850</Characters>
  <Application>Microsoft Office Word</Application>
  <DocSecurity>0</DocSecurity>
  <Lines>190</Lines>
  <Paragraphs>53</Paragraphs>
  <ScaleCrop>false</ScaleCrop>
  <Company/>
  <LinksUpToDate>false</LinksUpToDate>
  <CharactersWithSpaces>26805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2026-09-10T22:39:00Z</dcterms:created>
  <dcterms:modified xsi:type="dcterms:W3CDTF">2026-09-10T22:45:00Z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2F1639C6-F6EA-4E10-8EA6-0644B8B938B7</vt:lpwstr>
  </property>
</Properties>
</file>