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D25272" w14:textId="77777777" w:rsidR="00A1504F" w:rsidRPr="00A1504F" w:rsidRDefault="00A1504F" w:rsidP="00A1504F">
      <w:pPr>
        <w:spacing w:before="100" w:beforeAutospacing="1" w:after="100" w:afterAutospacing="1"/>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b/>
          <w:bCs/>
          <w:kern w:val="0"/>
          <w:lang w:eastAsia="en-GB"/>
          <w14:ligatures w14:val="none"/>
        </w:rPr>
        <w:t>CONFIDENTIAL</w:t>
      </w:r>
    </w:p>
    <w:p w14:paraId="28B197D6" w14:textId="77777777" w:rsidR="00A1504F" w:rsidRPr="00A1504F" w:rsidRDefault="00A1504F" w:rsidP="00A1504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1504F">
        <w:rPr>
          <w:rFonts w:ascii="Times New Roman" w:eastAsia="Times New Roman" w:hAnsi="Times New Roman" w:cs="Times New Roman"/>
          <w:b/>
          <w:bCs/>
          <w:kern w:val="36"/>
          <w:sz w:val="48"/>
          <w:szCs w:val="48"/>
          <w:lang w:eastAsia="en-GB"/>
          <w14:ligatures w14:val="none"/>
        </w:rPr>
        <w:t>INSURANCE SCHEDULE AND BROKER INSTRUCTION</w:t>
      </w:r>
    </w:p>
    <w:p w14:paraId="401ABDF7" w14:textId="77777777" w:rsidR="00A1504F" w:rsidRPr="00A1504F" w:rsidRDefault="00A1504F" w:rsidP="00A1504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1504F">
        <w:rPr>
          <w:rFonts w:ascii="Times New Roman" w:eastAsia="Times New Roman" w:hAnsi="Times New Roman" w:cs="Times New Roman"/>
          <w:b/>
          <w:bCs/>
          <w:kern w:val="0"/>
          <w:sz w:val="36"/>
          <w:szCs w:val="36"/>
          <w:lang w:eastAsia="en-GB"/>
          <w14:ligatures w14:val="none"/>
        </w:rPr>
        <w:t>MARHANA &amp; CO CONSULTING LTD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0"/>
        <w:gridCol w:w="6916"/>
      </w:tblGrid>
      <w:tr w:rsidR="00A1504F" w:rsidRPr="00A1504F" w14:paraId="2F5E7D32" w14:textId="77777777">
        <w:trPr>
          <w:tblHeader/>
          <w:tblCellSpacing w:w="15" w:type="dxa"/>
        </w:trPr>
        <w:tc>
          <w:tcPr>
            <w:tcW w:w="0" w:type="auto"/>
            <w:vAlign w:val="center"/>
            <w:hideMark/>
          </w:tcPr>
          <w:p w14:paraId="5CF682AC" w14:textId="77777777" w:rsidR="00A1504F" w:rsidRPr="00A1504F" w:rsidRDefault="00A1504F" w:rsidP="00A1504F">
            <w:pPr>
              <w:rPr>
                <w:rFonts w:ascii="Times New Roman" w:eastAsia="Times New Roman" w:hAnsi="Times New Roman" w:cs="Times New Roman"/>
                <w:kern w:val="0"/>
                <w:lang w:eastAsia="en-GB"/>
                <w14:ligatures w14:val="none"/>
              </w:rPr>
            </w:pPr>
          </w:p>
        </w:tc>
        <w:tc>
          <w:tcPr>
            <w:tcW w:w="0" w:type="auto"/>
            <w:vAlign w:val="center"/>
            <w:hideMark/>
          </w:tcPr>
          <w:p w14:paraId="77FFE76F" w14:textId="77777777" w:rsidR="00A1504F" w:rsidRPr="00A1504F" w:rsidRDefault="00A1504F" w:rsidP="00A1504F">
            <w:pPr>
              <w:jc w:val="center"/>
              <w:rPr>
                <w:rFonts w:ascii="Times New Roman" w:eastAsia="Times New Roman" w:hAnsi="Times New Roman" w:cs="Times New Roman"/>
                <w:kern w:val="0"/>
                <w:sz w:val="20"/>
                <w:szCs w:val="20"/>
                <w:lang w:eastAsia="en-GB"/>
                <w14:ligatures w14:val="none"/>
              </w:rPr>
            </w:pPr>
          </w:p>
        </w:tc>
      </w:tr>
      <w:tr w:rsidR="00A1504F" w:rsidRPr="00A1504F" w14:paraId="3B2694ED" w14:textId="77777777">
        <w:trPr>
          <w:tblCellSpacing w:w="15" w:type="dxa"/>
        </w:trPr>
        <w:tc>
          <w:tcPr>
            <w:tcW w:w="0" w:type="auto"/>
            <w:vAlign w:val="center"/>
            <w:hideMark/>
          </w:tcPr>
          <w:p w14:paraId="56F5A1FB"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b/>
                <w:bCs/>
                <w:kern w:val="0"/>
                <w:lang w:eastAsia="en-GB"/>
                <w14:ligatures w14:val="none"/>
              </w:rPr>
              <w:t>DOCUMENT OWNER</w:t>
            </w:r>
          </w:p>
        </w:tc>
        <w:tc>
          <w:tcPr>
            <w:tcW w:w="0" w:type="auto"/>
            <w:vAlign w:val="center"/>
            <w:hideMark/>
          </w:tcPr>
          <w:p w14:paraId="28540A94"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[DOCUMENT OWNER NAME], [DOCUMENT OWNER ROLE]</w:t>
            </w:r>
          </w:p>
        </w:tc>
      </w:tr>
      <w:tr w:rsidR="00A1504F" w:rsidRPr="00A1504F" w14:paraId="32EA2BAA" w14:textId="77777777">
        <w:trPr>
          <w:tblCellSpacing w:w="15" w:type="dxa"/>
        </w:trPr>
        <w:tc>
          <w:tcPr>
            <w:tcW w:w="0" w:type="auto"/>
            <w:vAlign w:val="center"/>
            <w:hideMark/>
          </w:tcPr>
          <w:p w14:paraId="522C14AC"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b/>
                <w:bCs/>
                <w:kern w:val="0"/>
                <w:lang w:eastAsia="en-GB"/>
                <w14:ligatures w14:val="none"/>
              </w:rPr>
              <w:t>VERSION</w:t>
            </w:r>
          </w:p>
        </w:tc>
        <w:tc>
          <w:tcPr>
            <w:tcW w:w="0" w:type="auto"/>
            <w:vAlign w:val="center"/>
            <w:hideMark/>
          </w:tcPr>
          <w:p w14:paraId="0021FCC1"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[VERSION NUMBER]</w:t>
            </w:r>
          </w:p>
        </w:tc>
      </w:tr>
      <w:tr w:rsidR="00A1504F" w:rsidRPr="00A1504F" w14:paraId="4DB744EC" w14:textId="77777777">
        <w:trPr>
          <w:tblCellSpacing w:w="15" w:type="dxa"/>
        </w:trPr>
        <w:tc>
          <w:tcPr>
            <w:tcW w:w="0" w:type="auto"/>
            <w:vAlign w:val="center"/>
            <w:hideMark/>
          </w:tcPr>
          <w:p w14:paraId="5C99F166"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b/>
                <w:bCs/>
                <w:kern w:val="0"/>
                <w:lang w:eastAsia="en-GB"/>
                <w14:ligatures w14:val="none"/>
              </w:rPr>
              <w:t>NEXT REVIEW DATE</w:t>
            </w:r>
          </w:p>
        </w:tc>
        <w:tc>
          <w:tcPr>
            <w:tcW w:w="0" w:type="auto"/>
            <w:vAlign w:val="center"/>
            <w:hideMark/>
          </w:tcPr>
          <w:p w14:paraId="18CEB9B6"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[NEXT REVIEW DATE — NOT LATER THAN RENEWAL]</w:t>
            </w:r>
          </w:p>
        </w:tc>
      </w:tr>
      <w:tr w:rsidR="00A1504F" w:rsidRPr="00A1504F" w14:paraId="554540FE" w14:textId="77777777">
        <w:trPr>
          <w:tblCellSpacing w:w="15" w:type="dxa"/>
        </w:trPr>
        <w:tc>
          <w:tcPr>
            <w:tcW w:w="0" w:type="auto"/>
            <w:vAlign w:val="center"/>
            <w:hideMark/>
          </w:tcPr>
          <w:p w14:paraId="0ADBE85B"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b/>
                <w:bCs/>
                <w:kern w:val="0"/>
                <w:lang w:eastAsia="en-GB"/>
                <w14:ligatures w14:val="none"/>
              </w:rPr>
              <w:t>STATUS</w:t>
            </w:r>
          </w:p>
        </w:tc>
        <w:tc>
          <w:tcPr>
            <w:tcW w:w="0" w:type="auto"/>
            <w:vAlign w:val="center"/>
            <w:hideMark/>
          </w:tcPr>
          <w:p w14:paraId="316D9DA3"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b/>
                <w:bCs/>
                <w:kern w:val="0"/>
                <w:lang w:eastAsia="en-GB"/>
                <w14:ligatures w14:val="none"/>
              </w:rPr>
              <w:t>DRAFTING FRAMEWORK — TO BE SETTLED WITH A REGULATED INSURANCE BROKER</w:t>
            </w:r>
          </w:p>
        </w:tc>
      </w:tr>
    </w:tbl>
    <w:p w14:paraId="5CDB34C0" w14:textId="77777777" w:rsidR="00A1504F" w:rsidRPr="00A1504F" w:rsidRDefault="00A1504F" w:rsidP="00A1504F">
      <w:pPr>
        <w:spacing w:before="100" w:beforeAutospacing="1" w:after="100" w:afterAutospacing="1"/>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i/>
          <w:iCs/>
          <w:kern w:val="0"/>
          <w:lang w:eastAsia="en-GB"/>
          <w14:ligatures w14:val="none"/>
        </w:rPr>
        <w:t>This document is not advice as to the adequacy of any policy. It sets out the cover the Company has determined it requires, the contractual commitments which depend upon that cover, and the instruction to be given to a broker. The Company is not authorised to advise upon insurance and each Director should rely upon the broker's advice.</w:t>
      </w:r>
    </w:p>
    <w:p w14:paraId="608399D7" w14:textId="77777777" w:rsidR="00A1504F" w:rsidRPr="00A1504F" w:rsidRDefault="00E449FC" w:rsidP="00A1504F">
      <w:pPr>
        <w:rPr>
          <w:rFonts w:ascii="Times New Roman" w:eastAsia="Times New Roman" w:hAnsi="Times New Roman" w:cs="Times New Roman"/>
          <w:kern w:val="0"/>
          <w:lang w:eastAsia="en-GB"/>
          <w14:ligatures w14:val="none"/>
        </w:rPr>
      </w:pPr>
      <w:r w:rsidRPr="00E449FC">
        <w:rPr>
          <w:rFonts w:ascii="Times New Roman" w:eastAsia="Times New Roman" w:hAnsi="Times New Roman" w:cs="Times New Roman"/>
          <w:noProof/>
          <w:kern w:val="0"/>
          <w:lang w:eastAsia="en-GB"/>
        </w:rPr>
        <w:pict w14:anchorId="4D0BB994">
          <v:rect id="_x0000_i1027" alt="" style="width:451.3pt;height:.05pt;mso-width-percent:0;mso-height-percent:0;mso-width-percent:0;mso-height-percent:0" o:hralign="center" o:hrstd="t" o:hr="t" fillcolor="#a0a0a0" stroked="f"/>
        </w:pict>
      </w:r>
    </w:p>
    <w:p w14:paraId="33B1C31E" w14:textId="77777777" w:rsidR="00A1504F" w:rsidRPr="00A1504F" w:rsidRDefault="00A1504F" w:rsidP="00A1504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1504F">
        <w:rPr>
          <w:rFonts w:ascii="Times New Roman" w:eastAsia="Times New Roman" w:hAnsi="Times New Roman" w:cs="Times New Roman"/>
          <w:b/>
          <w:bCs/>
          <w:kern w:val="36"/>
          <w:sz w:val="48"/>
          <w:szCs w:val="48"/>
          <w:lang w:eastAsia="en-GB"/>
          <w14:ligatures w14:val="none"/>
        </w:rPr>
        <w:t>PART 1 — INSURANCE REQUIREMENTS SCHEDULE</w:t>
      </w:r>
    </w:p>
    <w:p w14:paraId="459732F6" w14:textId="77777777" w:rsidR="00A1504F" w:rsidRPr="00A1504F" w:rsidRDefault="00A1504F" w:rsidP="00A1504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1504F">
        <w:rPr>
          <w:rFonts w:ascii="Times New Roman" w:eastAsia="Times New Roman" w:hAnsi="Times New Roman" w:cs="Times New Roman"/>
          <w:b/>
          <w:bCs/>
          <w:kern w:val="0"/>
          <w:sz w:val="36"/>
          <w:szCs w:val="36"/>
          <w:lang w:eastAsia="en-GB"/>
          <w14:ligatures w14:val="none"/>
        </w:rPr>
        <w:t>1.1 Cover to be maintained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1336"/>
        <w:gridCol w:w="1733"/>
        <w:gridCol w:w="2009"/>
        <w:gridCol w:w="1852"/>
        <w:gridCol w:w="1541"/>
      </w:tblGrid>
      <w:tr w:rsidR="00A1504F" w:rsidRPr="00A1504F" w14:paraId="7980C6CE" w14:textId="77777777">
        <w:trPr>
          <w:tblHeader/>
          <w:tblCellSpacing w:w="15" w:type="dxa"/>
        </w:trPr>
        <w:tc>
          <w:tcPr>
            <w:tcW w:w="0" w:type="auto"/>
            <w:vAlign w:val="center"/>
            <w:hideMark/>
          </w:tcPr>
          <w:p w14:paraId="548AD1C5" w14:textId="77777777" w:rsidR="00A1504F" w:rsidRPr="00A1504F" w:rsidRDefault="00A1504F" w:rsidP="00A1504F">
            <w:pPr>
              <w:jc w:val="center"/>
              <w:rPr>
                <w:rFonts w:ascii="Times New Roman" w:eastAsia="Times New Roman" w:hAnsi="Times New Roman" w:cs="Times New Roman"/>
                <w:b/>
                <w:bCs/>
                <w:kern w:val="0"/>
                <w:lang w:eastAsia="en-GB"/>
                <w14:ligatures w14:val="none"/>
              </w:rPr>
            </w:pPr>
            <w:r w:rsidRPr="00A1504F">
              <w:rPr>
                <w:rFonts w:ascii="Times New Roman" w:eastAsia="Times New Roman" w:hAnsi="Times New Roman" w:cs="Times New Roman"/>
                <w:b/>
                <w:bCs/>
                <w:kern w:val="0"/>
                <w:lang w:eastAsia="en-GB"/>
                <w14:ligatures w14:val="none"/>
              </w:rPr>
              <w:t>REF</w:t>
            </w:r>
          </w:p>
        </w:tc>
        <w:tc>
          <w:tcPr>
            <w:tcW w:w="0" w:type="auto"/>
            <w:vAlign w:val="center"/>
            <w:hideMark/>
          </w:tcPr>
          <w:p w14:paraId="6C9E5A91" w14:textId="77777777" w:rsidR="00A1504F" w:rsidRPr="00A1504F" w:rsidRDefault="00A1504F" w:rsidP="00A1504F">
            <w:pPr>
              <w:jc w:val="center"/>
              <w:rPr>
                <w:rFonts w:ascii="Times New Roman" w:eastAsia="Times New Roman" w:hAnsi="Times New Roman" w:cs="Times New Roman"/>
                <w:b/>
                <w:bCs/>
                <w:kern w:val="0"/>
                <w:lang w:eastAsia="en-GB"/>
                <w14:ligatures w14:val="none"/>
              </w:rPr>
            </w:pPr>
            <w:r w:rsidRPr="00A1504F">
              <w:rPr>
                <w:rFonts w:ascii="Times New Roman" w:eastAsia="Times New Roman" w:hAnsi="Times New Roman" w:cs="Times New Roman"/>
                <w:b/>
                <w:bCs/>
                <w:kern w:val="0"/>
                <w:lang w:eastAsia="en-GB"/>
                <w14:ligatures w14:val="none"/>
              </w:rPr>
              <w:t>COVER</w:t>
            </w:r>
          </w:p>
        </w:tc>
        <w:tc>
          <w:tcPr>
            <w:tcW w:w="0" w:type="auto"/>
            <w:vAlign w:val="center"/>
            <w:hideMark/>
          </w:tcPr>
          <w:p w14:paraId="12054B03" w14:textId="77777777" w:rsidR="00A1504F" w:rsidRPr="00A1504F" w:rsidRDefault="00A1504F" w:rsidP="00A1504F">
            <w:pPr>
              <w:jc w:val="center"/>
              <w:rPr>
                <w:rFonts w:ascii="Times New Roman" w:eastAsia="Times New Roman" w:hAnsi="Times New Roman" w:cs="Times New Roman"/>
                <w:b/>
                <w:bCs/>
                <w:kern w:val="0"/>
                <w:lang w:eastAsia="en-GB"/>
                <w14:ligatures w14:val="none"/>
              </w:rPr>
            </w:pPr>
            <w:r w:rsidRPr="00A1504F">
              <w:rPr>
                <w:rFonts w:ascii="Times New Roman" w:eastAsia="Times New Roman" w:hAnsi="Times New Roman" w:cs="Times New Roman"/>
                <w:b/>
                <w:bCs/>
                <w:kern w:val="0"/>
                <w:lang w:eastAsia="en-GB"/>
                <w14:ligatures w14:val="none"/>
              </w:rPr>
              <w:t>MINIMUM LIMIT</w:t>
            </w:r>
          </w:p>
        </w:tc>
        <w:tc>
          <w:tcPr>
            <w:tcW w:w="0" w:type="auto"/>
            <w:vAlign w:val="center"/>
            <w:hideMark/>
          </w:tcPr>
          <w:p w14:paraId="701B7FF0" w14:textId="77777777" w:rsidR="00A1504F" w:rsidRPr="00A1504F" w:rsidRDefault="00A1504F" w:rsidP="00A1504F">
            <w:pPr>
              <w:jc w:val="center"/>
              <w:rPr>
                <w:rFonts w:ascii="Times New Roman" w:eastAsia="Times New Roman" w:hAnsi="Times New Roman" w:cs="Times New Roman"/>
                <w:b/>
                <w:bCs/>
                <w:kern w:val="0"/>
                <w:lang w:eastAsia="en-GB"/>
                <w14:ligatures w14:val="none"/>
              </w:rPr>
            </w:pPr>
            <w:r w:rsidRPr="00A1504F">
              <w:rPr>
                <w:rFonts w:ascii="Times New Roman" w:eastAsia="Times New Roman" w:hAnsi="Times New Roman" w:cs="Times New Roman"/>
                <w:b/>
                <w:bCs/>
                <w:kern w:val="0"/>
                <w:lang w:eastAsia="en-GB"/>
                <w14:ligatures w14:val="none"/>
              </w:rPr>
              <w:t>BASIS</w:t>
            </w:r>
          </w:p>
        </w:tc>
        <w:tc>
          <w:tcPr>
            <w:tcW w:w="0" w:type="auto"/>
            <w:vAlign w:val="center"/>
            <w:hideMark/>
          </w:tcPr>
          <w:p w14:paraId="6A080FD3" w14:textId="77777777" w:rsidR="00A1504F" w:rsidRPr="00A1504F" w:rsidRDefault="00A1504F" w:rsidP="00A1504F">
            <w:pPr>
              <w:jc w:val="center"/>
              <w:rPr>
                <w:rFonts w:ascii="Times New Roman" w:eastAsia="Times New Roman" w:hAnsi="Times New Roman" w:cs="Times New Roman"/>
                <w:b/>
                <w:bCs/>
                <w:kern w:val="0"/>
                <w:lang w:eastAsia="en-GB"/>
                <w14:ligatures w14:val="none"/>
              </w:rPr>
            </w:pPr>
            <w:r w:rsidRPr="00A1504F">
              <w:rPr>
                <w:rFonts w:ascii="Times New Roman" w:eastAsia="Times New Roman" w:hAnsi="Times New Roman" w:cs="Times New Roman"/>
                <w:b/>
                <w:bCs/>
                <w:kern w:val="0"/>
                <w:lang w:eastAsia="en-GB"/>
                <w14:ligatures w14:val="none"/>
              </w:rPr>
              <w:t>WHY REQUIRED</w:t>
            </w:r>
          </w:p>
        </w:tc>
        <w:tc>
          <w:tcPr>
            <w:tcW w:w="0" w:type="auto"/>
            <w:vAlign w:val="center"/>
            <w:hideMark/>
          </w:tcPr>
          <w:p w14:paraId="5253F23C" w14:textId="77777777" w:rsidR="00A1504F" w:rsidRPr="00A1504F" w:rsidRDefault="00A1504F" w:rsidP="00A1504F">
            <w:pPr>
              <w:jc w:val="center"/>
              <w:rPr>
                <w:rFonts w:ascii="Times New Roman" w:eastAsia="Times New Roman" w:hAnsi="Times New Roman" w:cs="Times New Roman"/>
                <w:b/>
                <w:bCs/>
                <w:kern w:val="0"/>
                <w:lang w:eastAsia="en-GB"/>
                <w14:ligatures w14:val="none"/>
              </w:rPr>
            </w:pPr>
            <w:r w:rsidRPr="00A1504F">
              <w:rPr>
                <w:rFonts w:ascii="Times New Roman" w:eastAsia="Times New Roman" w:hAnsi="Times New Roman" w:cs="Times New Roman"/>
                <w:b/>
                <w:bCs/>
                <w:kern w:val="0"/>
                <w:lang w:eastAsia="en-GB"/>
                <w14:ligatures w14:val="none"/>
              </w:rPr>
              <w:t>STATUS</w:t>
            </w:r>
          </w:p>
        </w:tc>
      </w:tr>
      <w:tr w:rsidR="00A1504F" w:rsidRPr="00A1504F" w14:paraId="6BA7A544" w14:textId="77777777">
        <w:trPr>
          <w:tblCellSpacing w:w="15" w:type="dxa"/>
        </w:trPr>
        <w:tc>
          <w:tcPr>
            <w:tcW w:w="0" w:type="auto"/>
            <w:vAlign w:val="center"/>
            <w:hideMark/>
          </w:tcPr>
          <w:p w14:paraId="5C57B2F6"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1.1.1</w:t>
            </w:r>
          </w:p>
        </w:tc>
        <w:tc>
          <w:tcPr>
            <w:tcW w:w="0" w:type="auto"/>
            <w:vAlign w:val="center"/>
            <w:hideMark/>
          </w:tcPr>
          <w:p w14:paraId="2B797763"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Professional indemnity</w:t>
            </w:r>
          </w:p>
        </w:tc>
        <w:tc>
          <w:tcPr>
            <w:tcW w:w="0" w:type="auto"/>
            <w:vAlign w:val="center"/>
            <w:hideMark/>
          </w:tcPr>
          <w:p w14:paraId="6DE5D9A5"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£[PI LIMIT — SEE PARAGRAPH 1.2] any one claim and in the aggregate</w:t>
            </w:r>
          </w:p>
        </w:tc>
        <w:tc>
          <w:tcPr>
            <w:tcW w:w="0" w:type="auto"/>
            <w:vAlign w:val="center"/>
            <w:hideMark/>
          </w:tcPr>
          <w:p w14:paraId="25DB7020"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Civil liability, each and every claim preferred; retroactive date to commencement of trading</w:t>
            </w:r>
          </w:p>
        </w:tc>
        <w:tc>
          <w:tcPr>
            <w:tcW w:w="0" w:type="auto"/>
            <w:vAlign w:val="center"/>
            <w:hideMark/>
          </w:tcPr>
          <w:p w14:paraId="6E6945BA"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Terms of Engagement F.6; every client engagement; commonly specified in PQQs</w:t>
            </w:r>
          </w:p>
        </w:tc>
        <w:tc>
          <w:tcPr>
            <w:tcW w:w="0" w:type="auto"/>
            <w:vAlign w:val="center"/>
            <w:hideMark/>
          </w:tcPr>
          <w:p w14:paraId="57A4E30F"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[IN PLACE / TO PLACE]</w:t>
            </w:r>
          </w:p>
        </w:tc>
      </w:tr>
      <w:tr w:rsidR="00A1504F" w:rsidRPr="00A1504F" w14:paraId="7C5AFBF1" w14:textId="77777777">
        <w:trPr>
          <w:tblCellSpacing w:w="15" w:type="dxa"/>
        </w:trPr>
        <w:tc>
          <w:tcPr>
            <w:tcW w:w="0" w:type="auto"/>
            <w:vAlign w:val="center"/>
            <w:hideMark/>
          </w:tcPr>
          <w:p w14:paraId="197C1459"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1.1.2</w:t>
            </w:r>
          </w:p>
        </w:tc>
        <w:tc>
          <w:tcPr>
            <w:tcW w:w="0" w:type="auto"/>
            <w:vAlign w:val="center"/>
            <w:hideMark/>
          </w:tcPr>
          <w:p w14:paraId="48254A5C"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Cyber liability and data breach</w:t>
            </w:r>
          </w:p>
        </w:tc>
        <w:tc>
          <w:tcPr>
            <w:tcW w:w="0" w:type="auto"/>
            <w:vAlign w:val="center"/>
            <w:hideMark/>
          </w:tcPr>
          <w:p w14:paraId="59A295D2"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£[CYBER LIMIT — DEFAULT 250,000]</w:t>
            </w:r>
          </w:p>
        </w:tc>
        <w:tc>
          <w:tcPr>
            <w:tcW w:w="0" w:type="auto"/>
            <w:vAlign w:val="center"/>
            <w:hideMark/>
          </w:tcPr>
          <w:p w14:paraId="4D5A706E"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 xml:space="preserve">Including first-party response costs, business interruption, ransomware, data restoration, regulatory defence </w:t>
            </w:r>
            <w:r w:rsidRPr="00A1504F">
              <w:rPr>
                <w:rFonts w:ascii="Times New Roman" w:eastAsia="Times New Roman" w:hAnsi="Times New Roman" w:cs="Times New Roman"/>
                <w:kern w:val="0"/>
                <w:lang w:eastAsia="en-GB"/>
                <w14:ligatures w14:val="none"/>
              </w:rPr>
              <w:lastRenderedPageBreak/>
              <w:t>costs and notification costs</w:t>
            </w:r>
          </w:p>
        </w:tc>
        <w:tc>
          <w:tcPr>
            <w:tcW w:w="0" w:type="auto"/>
            <w:vAlign w:val="center"/>
            <w:hideMark/>
          </w:tcPr>
          <w:p w14:paraId="21980F51"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lastRenderedPageBreak/>
              <w:t>Processing client personal data as processor; Cyber Essentials Year 1 objective; DPA indemnities</w:t>
            </w:r>
          </w:p>
        </w:tc>
        <w:tc>
          <w:tcPr>
            <w:tcW w:w="0" w:type="auto"/>
            <w:vAlign w:val="center"/>
            <w:hideMark/>
          </w:tcPr>
          <w:p w14:paraId="61906AB8"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[IN PLACE / TO PLACE]</w:t>
            </w:r>
          </w:p>
        </w:tc>
      </w:tr>
      <w:tr w:rsidR="00A1504F" w:rsidRPr="00A1504F" w14:paraId="29CA950F" w14:textId="77777777">
        <w:trPr>
          <w:tblCellSpacing w:w="15" w:type="dxa"/>
        </w:trPr>
        <w:tc>
          <w:tcPr>
            <w:tcW w:w="0" w:type="auto"/>
            <w:vAlign w:val="center"/>
            <w:hideMark/>
          </w:tcPr>
          <w:p w14:paraId="49804A5B"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1.1.3</w:t>
            </w:r>
          </w:p>
        </w:tc>
        <w:tc>
          <w:tcPr>
            <w:tcW w:w="0" w:type="auto"/>
            <w:vAlign w:val="center"/>
            <w:hideMark/>
          </w:tcPr>
          <w:p w14:paraId="59B15DFF"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Public liability</w:t>
            </w:r>
          </w:p>
        </w:tc>
        <w:tc>
          <w:tcPr>
            <w:tcW w:w="0" w:type="auto"/>
            <w:vAlign w:val="center"/>
            <w:hideMark/>
          </w:tcPr>
          <w:p w14:paraId="046FF0C8"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£[PL LIMIT — DEFAULT 2,000,000]</w:t>
            </w:r>
          </w:p>
        </w:tc>
        <w:tc>
          <w:tcPr>
            <w:tcW w:w="0" w:type="auto"/>
            <w:vAlign w:val="center"/>
            <w:hideMark/>
          </w:tcPr>
          <w:p w14:paraId="5574E6C5"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Any one occurrence</w:t>
            </w:r>
          </w:p>
        </w:tc>
        <w:tc>
          <w:tcPr>
            <w:tcW w:w="0" w:type="auto"/>
            <w:vAlign w:val="center"/>
            <w:hideMark/>
          </w:tcPr>
          <w:p w14:paraId="00C603AA"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Client site visits; commonly specified in PQQs at £1m–£5m</w:t>
            </w:r>
          </w:p>
        </w:tc>
        <w:tc>
          <w:tcPr>
            <w:tcW w:w="0" w:type="auto"/>
            <w:vAlign w:val="center"/>
            <w:hideMark/>
          </w:tcPr>
          <w:p w14:paraId="47873A0B"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[IN PLACE / TO PLACE]</w:t>
            </w:r>
          </w:p>
        </w:tc>
      </w:tr>
      <w:tr w:rsidR="00A1504F" w:rsidRPr="00A1504F" w14:paraId="2698114A" w14:textId="77777777">
        <w:trPr>
          <w:tblCellSpacing w:w="15" w:type="dxa"/>
        </w:trPr>
        <w:tc>
          <w:tcPr>
            <w:tcW w:w="0" w:type="auto"/>
            <w:vAlign w:val="center"/>
            <w:hideMark/>
          </w:tcPr>
          <w:p w14:paraId="5BC53651"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1.1.4</w:t>
            </w:r>
          </w:p>
        </w:tc>
        <w:tc>
          <w:tcPr>
            <w:tcW w:w="0" w:type="auto"/>
            <w:vAlign w:val="center"/>
            <w:hideMark/>
          </w:tcPr>
          <w:p w14:paraId="37C1A169"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Employers' liability</w:t>
            </w:r>
          </w:p>
        </w:tc>
        <w:tc>
          <w:tcPr>
            <w:tcW w:w="0" w:type="auto"/>
            <w:vAlign w:val="center"/>
            <w:hideMark/>
          </w:tcPr>
          <w:p w14:paraId="1A5A06C6"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£5,000,000</w:t>
            </w:r>
          </w:p>
        </w:tc>
        <w:tc>
          <w:tcPr>
            <w:tcW w:w="0" w:type="auto"/>
            <w:vAlign w:val="center"/>
            <w:hideMark/>
          </w:tcPr>
          <w:p w14:paraId="0AC2944D"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Statutory minimum</w:t>
            </w:r>
          </w:p>
        </w:tc>
        <w:tc>
          <w:tcPr>
            <w:tcW w:w="0" w:type="auto"/>
            <w:vAlign w:val="center"/>
            <w:hideMark/>
          </w:tcPr>
          <w:p w14:paraId="65C0148E"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 xml:space="preserve">Employers' Liability (Compulsory Insurance) Act 1969 — </w:t>
            </w:r>
            <w:r w:rsidRPr="00A1504F">
              <w:rPr>
                <w:rFonts w:ascii="Times New Roman" w:eastAsia="Times New Roman" w:hAnsi="Times New Roman" w:cs="Times New Roman"/>
                <w:b/>
                <w:bCs/>
                <w:kern w:val="0"/>
                <w:lang w:eastAsia="en-GB"/>
                <w14:ligatures w14:val="none"/>
              </w:rPr>
              <w:t>required from the first employee, not from incorporation</w:t>
            </w:r>
          </w:p>
        </w:tc>
        <w:tc>
          <w:tcPr>
            <w:tcW w:w="0" w:type="auto"/>
            <w:vAlign w:val="center"/>
            <w:hideMark/>
          </w:tcPr>
          <w:p w14:paraId="14E16979"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[NOT YET REQUIRED / IN PLACE]</w:t>
            </w:r>
          </w:p>
        </w:tc>
      </w:tr>
      <w:tr w:rsidR="00A1504F" w:rsidRPr="00A1504F" w14:paraId="56DCFF0F" w14:textId="77777777">
        <w:trPr>
          <w:tblCellSpacing w:w="15" w:type="dxa"/>
        </w:trPr>
        <w:tc>
          <w:tcPr>
            <w:tcW w:w="0" w:type="auto"/>
            <w:vAlign w:val="center"/>
            <w:hideMark/>
          </w:tcPr>
          <w:p w14:paraId="32DBFE8E"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1.1.5</w:t>
            </w:r>
          </w:p>
        </w:tc>
        <w:tc>
          <w:tcPr>
            <w:tcW w:w="0" w:type="auto"/>
            <w:vAlign w:val="center"/>
            <w:hideMark/>
          </w:tcPr>
          <w:p w14:paraId="3CC149AE"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Directors' and officers' liability</w:t>
            </w:r>
          </w:p>
        </w:tc>
        <w:tc>
          <w:tcPr>
            <w:tcW w:w="0" w:type="auto"/>
            <w:vAlign w:val="center"/>
            <w:hideMark/>
          </w:tcPr>
          <w:p w14:paraId="5E34659C"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£[D&amp;O LIMIT — DEFAULT 250,000]</w:t>
            </w:r>
          </w:p>
        </w:tc>
        <w:tc>
          <w:tcPr>
            <w:tcW w:w="0" w:type="auto"/>
            <w:vAlign w:val="center"/>
            <w:hideMark/>
          </w:tcPr>
          <w:p w14:paraId="1B2B03DD"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Including defence costs</w:t>
            </w:r>
          </w:p>
        </w:tc>
        <w:tc>
          <w:tcPr>
            <w:tcW w:w="0" w:type="auto"/>
            <w:vAlign w:val="center"/>
            <w:hideMark/>
          </w:tcPr>
          <w:p w14:paraId="5C40083B"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Personal exposure of the Directors; not covered by PI</w:t>
            </w:r>
          </w:p>
        </w:tc>
        <w:tc>
          <w:tcPr>
            <w:tcW w:w="0" w:type="auto"/>
            <w:vAlign w:val="center"/>
            <w:hideMark/>
          </w:tcPr>
          <w:p w14:paraId="1F889C32"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[OPTIONAL — CONSIDER AT YEAR 2]</w:t>
            </w:r>
          </w:p>
        </w:tc>
      </w:tr>
      <w:tr w:rsidR="00A1504F" w:rsidRPr="00A1504F" w14:paraId="046412F0" w14:textId="77777777">
        <w:trPr>
          <w:tblCellSpacing w:w="15" w:type="dxa"/>
        </w:trPr>
        <w:tc>
          <w:tcPr>
            <w:tcW w:w="0" w:type="auto"/>
            <w:vAlign w:val="center"/>
            <w:hideMark/>
          </w:tcPr>
          <w:p w14:paraId="7731B491"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1.1.6</w:t>
            </w:r>
          </w:p>
        </w:tc>
        <w:tc>
          <w:tcPr>
            <w:tcW w:w="0" w:type="auto"/>
            <w:vAlign w:val="center"/>
            <w:hideMark/>
          </w:tcPr>
          <w:p w14:paraId="48E921E0"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Legal expenses and contract disputes</w:t>
            </w:r>
          </w:p>
        </w:tc>
        <w:tc>
          <w:tcPr>
            <w:tcW w:w="0" w:type="auto"/>
            <w:vAlign w:val="center"/>
            <w:hideMark/>
          </w:tcPr>
          <w:p w14:paraId="32C56A50"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£[LEGAL EXPENSES LIMIT]</w:t>
            </w:r>
          </w:p>
        </w:tc>
        <w:tc>
          <w:tcPr>
            <w:tcW w:w="0" w:type="auto"/>
            <w:vAlign w:val="center"/>
            <w:hideMark/>
          </w:tcPr>
          <w:p w14:paraId="5A8C5408"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Including debt recovery</w:t>
            </w:r>
          </w:p>
        </w:tc>
        <w:tc>
          <w:tcPr>
            <w:tcW w:w="0" w:type="auto"/>
            <w:vAlign w:val="center"/>
            <w:hideMark/>
          </w:tcPr>
          <w:p w14:paraId="54808FFF"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Fee recovery against SME clients</w:t>
            </w:r>
          </w:p>
        </w:tc>
        <w:tc>
          <w:tcPr>
            <w:tcW w:w="0" w:type="auto"/>
            <w:vAlign w:val="center"/>
            <w:hideMark/>
          </w:tcPr>
          <w:p w14:paraId="6321025A"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[OPTIONAL]</w:t>
            </w:r>
          </w:p>
        </w:tc>
      </w:tr>
      <w:tr w:rsidR="00A1504F" w:rsidRPr="00A1504F" w14:paraId="2EB56D42" w14:textId="77777777">
        <w:trPr>
          <w:tblCellSpacing w:w="15" w:type="dxa"/>
        </w:trPr>
        <w:tc>
          <w:tcPr>
            <w:tcW w:w="0" w:type="auto"/>
            <w:vAlign w:val="center"/>
            <w:hideMark/>
          </w:tcPr>
          <w:p w14:paraId="0E37254E"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1.1.7</w:t>
            </w:r>
          </w:p>
        </w:tc>
        <w:tc>
          <w:tcPr>
            <w:tcW w:w="0" w:type="auto"/>
            <w:vAlign w:val="center"/>
            <w:hideMark/>
          </w:tcPr>
          <w:p w14:paraId="749EE9F0"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Office / contents / equipment</w:t>
            </w:r>
          </w:p>
        </w:tc>
        <w:tc>
          <w:tcPr>
            <w:tcW w:w="0" w:type="auto"/>
            <w:vAlign w:val="center"/>
            <w:hideMark/>
          </w:tcPr>
          <w:p w14:paraId="0F819CC5"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£[CONTENTS LIMIT]</w:t>
            </w:r>
          </w:p>
        </w:tc>
        <w:tc>
          <w:tcPr>
            <w:tcW w:w="0" w:type="auto"/>
            <w:vAlign w:val="center"/>
            <w:hideMark/>
          </w:tcPr>
          <w:p w14:paraId="7A67D95A"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Including cover for equipment away from premises</w:t>
            </w:r>
          </w:p>
        </w:tc>
        <w:tc>
          <w:tcPr>
            <w:tcW w:w="0" w:type="auto"/>
            <w:vAlign w:val="center"/>
            <w:hideMark/>
          </w:tcPr>
          <w:p w14:paraId="7D0A3CD7"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Remote-first model; personal home insurance will not cover business use</w:t>
            </w:r>
          </w:p>
        </w:tc>
        <w:tc>
          <w:tcPr>
            <w:tcW w:w="0" w:type="auto"/>
            <w:vAlign w:val="center"/>
            <w:hideMark/>
          </w:tcPr>
          <w:p w14:paraId="0CCCFA92"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[CONSIDER]</w:t>
            </w:r>
          </w:p>
        </w:tc>
      </w:tr>
    </w:tbl>
    <w:p w14:paraId="012D5BFD" w14:textId="77777777" w:rsidR="00A1504F" w:rsidRPr="00A1504F" w:rsidRDefault="00A1504F" w:rsidP="00A1504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1504F">
        <w:rPr>
          <w:rFonts w:ascii="Times New Roman" w:eastAsia="Times New Roman" w:hAnsi="Times New Roman" w:cs="Times New Roman"/>
          <w:b/>
          <w:bCs/>
          <w:kern w:val="0"/>
          <w:sz w:val="36"/>
          <w:szCs w:val="36"/>
          <w:lang w:eastAsia="en-GB"/>
          <w14:ligatures w14:val="none"/>
        </w:rPr>
        <w:t>1.2 Setting the professional indemnity limit</w:t>
      </w:r>
    </w:p>
    <w:p w14:paraId="442EB8AD" w14:textId="77777777" w:rsidR="00A1504F" w:rsidRPr="00A1504F" w:rsidRDefault="00A1504F" w:rsidP="00A1504F">
      <w:pPr>
        <w:spacing w:before="100" w:beforeAutospacing="1" w:after="100" w:afterAutospacing="1"/>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1.2.1 The limit is not determined by fee size but by the loss a client may claim. On a £750 tender-writing engagement the alleged loss is the lost contract, which may be six or seven figures.</w:t>
      </w:r>
    </w:p>
    <w:p w14:paraId="4F6F8E6E" w14:textId="77777777" w:rsidR="00A1504F" w:rsidRPr="00A1504F" w:rsidRDefault="00A1504F" w:rsidP="00A1504F">
      <w:pPr>
        <w:spacing w:before="100" w:beforeAutospacing="1" w:after="100" w:afterAutospacing="1"/>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1.2.2 The following are the relevant constraints:</w:t>
      </w:r>
    </w:p>
    <w:p w14:paraId="05B7DF24" w14:textId="77777777" w:rsidR="00A1504F" w:rsidRPr="00A1504F" w:rsidRDefault="00A1504F" w:rsidP="00A1504F">
      <w:pPr>
        <w:spacing w:before="100" w:beforeAutospacing="1" w:after="100" w:afterAutospacing="1"/>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 xml:space="preserve">1.2.2.1 </w:t>
      </w:r>
      <w:r w:rsidRPr="00A1504F">
        <w:rPr>
          <w:rFonts w:ascii="Times New Roman" w:eastAsia="Times New Roman" w:hAnsi="Times New Roman" w:cs="Times New Roman"/>
          <w:b/>
          <w:bCs/>
          <w:kern w:val="0"/>
          <w:lang w:eastAsia="en-GB"/>
          <w14:ligatures w14:val="none"/>
        </w:rPr>
        <w:t>Contractual.</w:t>
      </w:r>
      <w:r w:rsidRPr="00A1504F">
        <w:rPr>
          <w:rFonts w:ascii="Times New Roman" w:eastAsia="Times New Roman" w:hAnsi="Times New Roman" w:cs="Times New Roman"/>
          <w:kern w:val="0"/>
          <w:lang w:eastAsia="en-GB"/>
          <w14:ligatures w14:val="none"/>
        </w:rPr>
        <w:t xml:space="preserve"> Paragraph A.1.14 of the Terms of Engagement caps liability at the greater of £25,000 and 100% of fees. Cover must comfortably exceed that cap plus defence costs.</w:t>
      </w:r>
    </w:p>
    <w:p w14:paraId="79F81EFF" w14:textId="77777777" w:rsidR="00A1504F" w:rsidRPr="00A1504F" w:rsidRDefault="00A1504F" w:rsidP="00A1504F">
      <w:pPr>
        <w:spacing w:before="100" w:beforeAutospacing="1" w:after="100" w:afterAutospacing="1"/>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 xml:space="preserve">1.2.2.2 </w:t>
      </w:r>
      <w:r w:rsidRPr="00A1504F">
        <w:rPr>
          <w:rFonts w:ascii="Times New Roman" w:eastAsia="Times New Roman" w:hAnsi="Times New Roman" w:cs="Times New Roman"/>
          <w:b/>
          <w:bCs/>
          <w:kern w:val="0"/>
          <w:lang w:eastAsia="en-GB"/>
          <w14:ligatures w14:val="none"/>
        </w:rPr>
        <w:t>Reasonableness under UCTA.</w:t>
      </w:r>
      <w:r w:rsidRPr="00A1504F">
        <w:rPr>
          <w:rFonts w:ascii="Times New Roman" w:eastAsia="Times New Roman" w:hAnsi="Times New Roman" w:cs="Times New Roman"/>
          <w:kern w:val="0"/>
          <w:lang w:eastAsia="en-GB"/>
          <w14:ligatures w14:val="none"/>
        </w:rPr>
        <w:t xml:space="preserve"> The availability of insurance is an express factor under Schedule 2 to the Unfair Contract Terms Act 1977. A cap set materially below available cover is more vulnerable. Conversely, a very high limit makes a low cap harder to defend. The two figures should be set together, not separately.</w:t>
      </w:r>
    </w:p>
    <w:p w14:paraId="3ECA224F" w14:textId="77777777" w:rsidR="00A1504F" w:rsidRPr="00A1504F" w:rsidRDefault="00A1504F" w:rsidP="00A1504F">
      <w:pPr>
        <w:spacing w:before="100" w:beforeAutospacing="1" w:after="100" w:afterAutospacing="1"/>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lastRenderedPageBreak/>
        <w:t xml:space="preserve">1.2.2.3 </w:t>
      </w:r>
      <w:r w:rsidRPr="00A1504F">
        <w:rPr>
          <w:rFonts w:ascii="Times New Roman" w:eastAsia="Times New Roman" w:hAnsi="Times New Roman" w:cs="Times New Roman"/>
          <w:b/>
          <w:bCs/>
          <w:kern w:val="0"/>
          <w:lang w:eastAsia="en-GB"/>
          <w14:ligatures w14:val="none"/>
        </w:rPr>
        <w:t>Procurement requirements.</w:t>
      </w:r>
      <w:r w:rsidRPr="00A1504F">
        <w:rPr>
          <w:rFonts w:ascii="Times New Roman" w:eastAsia="Times New Roman" w:hAnsi="Times New Roman" w:cs="Times New Roman"/>
          <w:kern w:val="0"/>
          <w:lang w:eastAsia="en-GB"/>
          <w14:ligatures w14:val="none"/>
        </w:rPr>
        <w:t xml:space="preserve"> Public sector PQQs commonly specify £1,000,000 professional indemnity, and some specify more. Cover below the commonly specified level will exclude the Company from tendering in its own right and may deter clients.</w:t>
      </w:r>
    </w:p>
    <w:p w14:paraId="6B930C56" w14:textId="77777777" w:rsidR="00A1504F" w:rsidRPr="00A1504F" w:rsidRDefault="00A1504F" w:rsidP="00A1504F">
      <w:pPr>
        <w:spacing w:before="100" w:beforeAutospacing="1" w:after="100" w:afterAutospacing="1"/>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 xml:space="preserve">1.2.2.4 </w:t>
      </w:r>
      <w:r w:rsidRPr="00A1504F">
        <w:rPr>
          <w:rFonts w:ascii="Times New Roman" w:eastAsia="Times New Roman" w:hAnsi="Times New Roman" w:cs="Times New Roman"/>
          <w:b/>
          <w:bCs/>
          <w:kern w:val="0"/>
          <w:lang w:eastAsia="en-GB"/>
          <w14:ligatures w14:val="none"/>
        </w:rPr>
        <w:t>Aggregate versus each and every.</w:t>
      </w:r>
      <w:r w:rsidRPr="00A1504F">
        <w:rPr>
          <w:rFonts w:ascii="Times New Roman" w:eastAsia="Times New Roman" w:hAnsi="Times New Roman" w:cs="Times New Roman"/>
          <w:kern w:val="0"/>
          <w:lang w:eastAsia="en-GB"/>
          <w14:ligatures w14:val="none"/>
        </w:rPr>
        <w:t xml:space="preserve"> An aggregate limit is exhausted by the first claim. "Each and every claim" cover is materially better and should be sought.</w:t>
      </w:r>
    </w:p>
    <w:p w14:paraId="034D1EB4" w14:textId="77777777" w:rsidR="00A1504F" w:rsidRPr="00A1504F" w:rsidRDefault="00A1504F" w:rsidP="00A1504F">
      <w:pPr>
        <w:spacing w:before="100" w:beforeAutospacing="1" w:after="100" w:afterAutospacing="1"/>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 xml:space="preserve">1.2.3 </w:t>
      </w:r>
      <w:r w:rsidRPr="00A1504F">
        <w:rPr>
          <w:rFonts w:ascii="Times New Roman" w:eastAsia="Times New Roman" w:hAnsi="Times New Roman" w:cs="Times New Roman"/>
          <w:b/>
          <w:bCs/>
          <w:kern w:val="0"/>
          <w:lang w:eastAsia="en-GB"/>
          <w14:ligatures w14:val="none"/>
        </w:rPr>
        <w:t>Recommendation to put to the broker:</w:t>
      </w:r>
      <w:r w:rsidRPr="00A1504F">
        <w:rPr>
          <w:rFonts w:ascii="Times New Roman" w:eastAsia="Times New Roman" w:hAnsi="Times New Roman" w:cs="Times New Roman"/>
          <w:kern w:val="0"/>
          <w:lang w:eastAsia="en-GB"/>
          <w14:ligatures w14:val="none"/>
        </w:rPr>
        <w:t xml:space="preserve"> £1,000,000 each and every claim, with defence costs in addition to the limit where available, retroactive cover to the date of commencement of trading, and an option quoted at £2,000,000 for comparison. Confirm the premium differential before deciding.</w:t>
      </w:r>
    </w:p>
    <w:p w14:paraId="409FA29A" w14:textId="77777777" w:rsidR="00A1504F" w:rsidRPr="00A1504F" w:rsidRDefault="00A1504F" w:rsidP="00A1504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1504F">
        <w:rPr>
          <w:rFonts w:ascii="Times New Roman" w:eastAsia="Times New Roman" w:hAnsi="Times New Roman" w:cs="Times New Roman"/>
          <w:b/>
          <w:bCs/>
          <w:kern w:val="0"/>
          <w:sz w:val="36"/>
          <w:szCs w:val="36"/>
          <w:lang w:eastAsia="en-GB"/>
          <w14:ligatures w14:val="none"/>
        </w:rPr>
        <w:t>1.3 Cover features to confirm with the broker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2902"/>
        <w:gridCol w:w="3867"/>
        <w:gridCol w:w="1582"/>
      </w:tblGrid>
      <w:tr w:rsidR="00A1504F" w:rsidRPr="00A1504F" w14:paraId="6A3D0521" w14:textId="77777777">
        <w:trPr>
          <w:tblHeader/>
          <w:tblCellSpacing w:w="15" w:type="dxa"/>
        </w:trPr>
        <w:tc>
          <w:tcPr>
            <w:tcW w:w="0" w:type="auto"/>
            <w:vAlign w:val="center"/>
            <w:hideMark/>
          </w:tcPr>
          <w:p w14:paraId="472DC52A" w14:textId="77777777" w:rsidR="00A1504F" w:rsidRPr="00A1504F" w:rsidRDefault="00A1504F" w:rsidP="00A1504F">
            <w:pPr>
              <w:jc w:val="center"/>
              <w:rPr>
                <w:rFonts w:ascii="Times New Roman" w:eastAsia="Times New Roman" w:hAnsi="Times New Roman" w:cs="Times New Roman"/>
                <w:b/>
                <w:bCs/>
                <w:kern w:val="0"/>
                <w:lang w:eastAsia="en-GB"/>
                <w14:ligatures w14:val="none"/>
              </w:rPr>
            </w:pPr>
            <w:r w:rsidRPr="00A1504F">
              <w:rPr>
                <w:rFonts w:ascii="Times New Roman" w:eastAsia="Times New Roman" w:hAnsi="Times New Roman" w:cs="Times New Roman"/>
                <w:b/>
                <w:bCs/>
                <w:kern w:val="0"/>
                <w:lang w:eastAsia="en-GB"/>
                <w14:ligatures w14:val="none"/>
              </w:rPr>
              <w:t>REF</w:t>
            </w:r>
          </w:p>
        </w:tc>
        <w:tc>
          <w:tcPr>
            <w:tcW w:w="0" w:type="auto"/>
            <w:vAlign w:val="center"/>
            <w:hideMark/>
          </w:tcPr>
          <w:p w14:paraId="41F1B739" w14:textId="77777777" w:rsidR="00A1504F" w:rsidRPr="00A1504F" w:rsidRDefault="00A1504F" w:rsidP="00A1504F">
            <w:pPr>
              <w:jc w:val="center"/>
              <w:rPr>
                <w:rFonts w:ascii="Times New Roman" w:eastAsia="Times New Roman" w:hAnsi="Times New Roman" w:cs="Times New Roman"/>
                <w:b/>
                <w:bCs/>
                <w:kern w:val="0"/>
                <w:lang w:eastAsia="en-GB"/>
                <w14:ligatures w14:val="none"/>
              </w:rPr>
            </w:pPr>
            <w:r w:rsidRPr="00A1504F">
              <w:rPr>
                <w:rFonts w:ascii="Times New Roman" w:eastAsia="Times New Roman" w:hAnsi="Times New Roman" w:cs="Times New Roman"/>
                <w:b/>
                <w:bCs/>
                <w:kern w:val="0"/>
                <w:lang w:eastAsia="en-GB"/>
                <w14:ligatures w14:val="none"/>
              </w:rPr>
              <w:t>FEATURE</w:t>
            </w:r>
          </w:p>
        </w:tc>
        <w:tc>
          <w:tcPr>
            <w:tcW w:w="0" w:type="auto"/>
            <w:vAlign w:val="center"/>
            <w:hideMark/>
          </w:tcPr>
          <w:p w14:paraId="710ECCD0" w14:textId="77777777" w:rsidR="00A1504F" w:rsidRPr="00A1504F" w:rsidRDefault="00A1504F" w:rsidP="00A1504F">
            <w:pPr>
              <w:jc w:val="center"/>
              <w:rPr>
                <w:rFonts w:ascii="Times New Roman" w:eastAsia="Times New Roman" w:hAnsi="Times New Roman" w:cs="Times New Roman"/>
                <w:b/>
                <w:bCs/>
                <w:kern w:val="0"/>
                <w:lang w:eastAsia="en-GB"/>
                <w14:ligatures w14:val="none"/>
              </w:rPr>
            </w:pPr>
            <w:r w:rsidRPr="00A1504F">
              <w:rPr>
                <w:rFonts w:ascii="Times New Roman" w:eastAsia="Times New Roman" w:hAnsi="Times New Roman" w:cs="Times New Roman"/>
                <w:b/>
                <w:bCs/>
                <w:kern w:val="0"/>
                <w:lang w:eastAsia="en-GB"/>
                <w14:ligatures w14:val="none"/>
              </w:rPr>
              <w:t>WHY IT MATTERS</w:t>
            </w:r>
          </w:p>
        </w:tc>
        <w:tc>
          <w:tcPr>
            <w:tcW w:w="0" w:type="auto"/>
            <w:vAlign w:val="center"/>
            <w:hideMark/>
          </w:tcPr>
          <w:p w14:paraId="5FD42FDC" w14:textId="77777777" w:rsidR="00A1504F" w:rsidRPr="00A1504F" w:rsidRDefault="00A1504F" w:rsidP="00A1504F">
            <w:pPr>
              <w:jc w:val="center"/>
              <w:rPr>
                <w:rFonts w:ascii="Times New Roman" w:eastAsia="Times New Roman" w:hAnsi="Times New Roman" w:cs="Times New Roman"/>
                <w:b/>
                <w:bCs/>
                <w:kern w:val="0"/>
                <w:lang w:eastAsia="en-GB"/>
                <w14:ligatures w14:val="none"/>
              </w:rPr>
            </w:pPr>
            <w:r w:rsidRPr="00A1504F">
              <w:rPr>
                <w:rFonts w:ascii="Times New Roman" w:eastAsia="Times New Roman" w:hAnsi="Times New Roman" w:cs="Times New Roman"/>
                <w:b/>
                <w:bCs/>
                <w:kern w:val="0"/>
                <w:lang w:eastAsia="en-GB"/>
                <w14:ligatures w14:val="none"/>
              </w:rPr>
              <w:t>CONFIRMED</w:t>
            </w:r>
          </w:p>
        </w:tc>
      </w:tr>
      <w:tr w:rsidR="00A1504F" w:rsidRPr="00A1504F" w14:paraId="1BD5D91E" w14:textId="77777777">
        <w:trPr>
          <w:tblCellSpacing w:w="15" w:type="dxa"/>
        </w:trPr>
        <w:tc>
          <w:tcPr>
            <w:tcW w:w="0" w:type="auto"/>
            <w:vAlign w:val="center"/>
            <w:hideMark/>
          </w:tcPr>
          <w:p w14:paraId="41FAA6A5"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1.3.1</w:t>
            </w:r>
          </w:p>
        </w:tc>
        <w:tc>
          <w:tcPr>
            <w:tcW w:w="0" w:type="auto"/>
            <w:vAlign w:val="center"/>
            <w:hideMark/>
          </w:tcPr>
          <w:p w14:paraId="47D7D1BF"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Retroactive date at commencement of trading, with no gap</w:t>
            </w:r>
          </w:p>
        </w:tc>
        <w:tc>
          <w:tcPr>
            <w:tcW w:w="0" w:type="auto"/>
            <w:vAlign w:val="center"/>
            <w:hideMark/>
          </w:tcPr>
          <w:p w14:paraId="3D966301"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Claims-made policies respond by reference to the date of notification, not the date of the act; a later retroactive date leaves early engagements uninsured</w:t>
            </w:r>
          </w:p>
        </w:tc>
        <w:tc>
          <w:tcPr>
            <w:tcW w:w="0" w:type="auto"/>
            <w:vAlign w:val="center"/>
            <w:hideMark/>
          </w:tcPr>
          <w:p w14:paraId="4D60F64D"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w:t>
            </w:r>
          </w:p>
        </w:tc>
      </w:tr>
      <w:tr w:rsidR="00A1504F" w:rsidRPr="00A1504F" w14:paraId="1C306A79" w14:textId="77777777">
        <w:trPr>
          <w:tblCellSpacing w:w="15" w:type="dxa"/>
        </w:trPr>
        <w:tc>
          <w:tcPr>
            <w:tcW w:w="0" w:type="auto"/>
            <w:vAlign w:val="center"/>
            <w:hideMark/>
          </w:tcPr>
          <w:p w14:paraId="75F71203"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1.3.2</w:t>
            </w:r>
          </w:p>
        </w:tc>
        <w:tc>
          <w:tcPr>
            <w:tcW w:w="0" w:type="auto"/>
            <w:vAlign w:val="center"/>
            <w:hideMark/>
          </w:tcPr>
          <w:p w14:paraId="227AED2F"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Defence costs in addition to the limit, not within it</w:t>
            </w:r>
          </w:p>
        </w:tc>
        <w:tc>
          <w:tcPr>
            <w:tcW w:w="0" w:type="auto"/>
            <w:vAlign w:val="center"/>
            <w:hideMark/>
          </w:tcPr>
          <w:p w14:paraId="60E9F3B9"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Costs inclusive cover can be exhausted by defence spend before any award</w:t>
            </w:r>
          </w:p>
        </w:tc>
        <w:tc>
          <w:tcPr>
            <w:tcW w:w="0" w:type="auto"/>
            <w:vAlign w:val="center"/>
            <w:hideMark/>
          </w:tcPr>
          <w:p w14:paraId="0A37DD46"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w:t>
            </w:r>
          </w:p>
        </w:tc>
      </w:tr>
      <w:tr w:rsidR="00A1504F" w:rsidRPr="00A1504F" w14:paraId="11296587" w14:textId="77777777">
        <w:trPr>
          <w:tblCellSpacing w:w="15" w:type="dxa"/>
        </w:trPr>
        <w:tc>
          <w:tcPr>
            <w:tcW w:w="0" w:type="auto"/>
            <w:vAlign w:val="center"/>
            <w:hideMark/>
          </w:tcPr>
          <w:p w14:paraId="08716599"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1.3.3</w:t>
            </w:r>
          </w:p>
        </w:tc>
        <w:tc>
          <w:tcPr>
            <w:tcW w:w="0" w:type="auto"/>
            <w:vAlign w:val="center"/>
            <w:hideMark/>
          </w:tcPr>
          <w:p w14:paraId="0153568F"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Cover extends to work performed by Associates and sub-contractors</w:t>
            </w:r>
          </w:p>
        </w:tc>
        <w:tc>
          <w:tcPr>
            <w:tcW w:w="0" w:type="auto"/>
            <w:vAlign w:val="center"/>
            <w:hideMark/>
          </w:tcPr>
          <w:p w14:paraId="752C535C"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The business model depends on surge capacity; many policies exclude sub-contracted work unless declared</w:t>
            </w:r>
          </w:p>
        </w:tc>
        <w:tc>
          <w:tcPr>
            <w:tcW w:w="0" w:type="auto"/>
            <w:vAlign w:val="center"/>
            <w:hideMark/>
          </w:tcPr>
          <w:p w14:paraId="4086DF18"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w:t>
            </w:r>
          </w:p>
        </w:tc>
      </w:tr>
      <w:tr w:rsidR="00A1504F" w:rsidRPr="00A1504F" w14:paraId="520F4A4E" w14:textId="77777777">
        <w:trPr>
          <w:tblCellSpacing w:w="15" w:type="dxa"/>
        </w:trPr>
        <w:tc>
          <w:tcPr>
            <w:tcW w:w="0" w:type="auto"/>
            <w:vAlign w:val="center"/>
            <w:hideMark/>
          </w:tcPr>
          <w:p w14:paraId="7C289C4B"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1.3.4</w:t>
            </w:r>
          </w:p>
        </w:tc>
        <w:tc>
          <w:tcPr>
            <w:tcW w:w="0" w:type="auto"/>
            <w:vAlign w:val="center"/>
            <w:hideMark/>
          </w:tcPr>
          <w:p w14:paraId="3D00E88D"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Cover extends to use of AI and assistive technology in delivery</w:t>
            </w:r>
          </w:p>
        </w:tc>
        <w:tc>
          <w:tcPr>
            <w:tcW w:w="0" w:type="auto"/>
            <w:vAlign w:val="center"/>
            <w:hideMark/>
          </w:tcPr>
          <w:p w14:paraId="66E63413"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Some policies now carry AI exclusions; confirm expressly and in writing</w:t>
            </w:r>
          </w:p>
        </w:tc>
        <w:tc>
          <w:tcPr>
            <w:tcW w:w="0" w:type="auto"/>
            <w:vAlign w:val="center"/>
            <w:hideMark/>
          </w:tcPr>
          <w:p w14:paraId="2868A85A"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w:t>
            </w:r>
          </w:p>
        </w:tc>
      </w:tr>
      <w:tr w:rsidR="00A1504F" w:rsidRPr="00A1504F" w14:paraId="4D468519" w14:textId="77777777">
        <w:trPr>
          <w:tblCellSpacing w:w="15" w:type="dxa"/>
        </w:trPr>
        <w:tc>
          <w:tcPr>
            <w:tcW w:w="0" w:type="auto"/>
            <w:vAlign w:val="center"/>
            <w:hideMark/>
          </w:tcPr>
          <w:p w14:paraId="2FA2625C"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1.3.5</w:t>
            </w:r>
          </w:p>
        </w:tc>
        <w:tc>
          <w:tcPr>
            <w:tcW w:w="0" w:type="auto"/>
            <w:vAlign w:val="center"/>
            <w:hideMark/>
          </w:tcPr>
          <w:p w14:paraId="03A43CF7"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Cover extends to breach of confidentiality and misuse of third-party information</w:t>
            </w:r>
          </w:p>
        </w:tc>
        <w:tc>
          <w:tcPr>
            <w:tcW w:w="0" w:type="auto"/>
            <w:vAlign w:val="center"/>
            <w:hideMark/>
          </w:tcPr>
          <w:p w14:paraId="4EC38587"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Contracting authority material is handled on every engagement</w:t>
            </w:r>
          </w:p>
        </w:tc>
        <w:tc>
          <w:tcPr>
            <w:tcW w:w="0" w:type="auto"/>
            <w:vAlign w:val="center"/>
            <w:hideMark/>
          </w:tcPr>
          <w:p w14:paraId="3DE675EB"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w:t>
            </w:r>
          </w:p>
        </w:tc>
      </w:tr>
      <w:tr w:rsidR="00A1504F" w:rsidRPr="00A1504F" w14:paraId="53DD3C5E" w14:textId="77777777">
        <w:trPr>
          <w:tblCellSpacing w:w="15" w:type="dxa"/>
        </w:trPr>
        <w:tc>
          <w:tcPr>
            <w:tcW w:w="0" w:type="auto"/>
            <w:vAlign w:val="center"/>
            <w:hideMark/>
          </w:tcPr>
          <w:p w14:paraId="256CE9EC"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1.3.6</w:t>
            </w:r>
          </w:p>
        </w:tc>
        <w:tc>
          <w:tcPr>
            <w:tcW w:w="0" w:type="auto"/>
            <w:vAlign w:val="center"/>
            <w:hideMark/>
          </w:tcPr>
          <w:p w14:paraId="5E56D468"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Cover extends to unintentional intellectual property infringement</w:t>
            </w:r>
          </w:p>
        </w:tc>
        <w:tc>
          <w:tcPr>
            <w:tcW w:w="0" w:type="auto"/>
            <w:vAlign w:val="center"/>
            <w:hideMark/>
          </w:tcPr>
          <w:p w14:paraId="441F732C"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Content drafting risk</w:t>
            </w:r>
          </w:p>
        </w:tc>
        <w:tc>
          <w:tcPr>
            <w:tcW w:w="0" w:type="auto"/>
            <w:vAlign w:val="center"/>
            <w:hideMark/>
          </w:tcPr>
          <w:p w14:paraId="05922D37"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w:t>
            </w:r>
          </w:p>
        </w:tc>
      </w:tr>
      <w:tr w:rsidR="00A1504F" w:rsidRPr="00A1504F" w14:paraId="2954ACE9" w14:textId="77777777">
        <w:trPr>
          <w:tblCellSpacing w:w="15" w:type="dxa"/>
        </w:trPr>
        <w:tc>
          <w:tcPr>
            <w:tcW w:w="0" w:type="auto"/>
            <w:vAlign w:val="center"/>
            <w:hideMark/>
          </w:tcPr>
          <w:p w14:paraId="6961D47D"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1.3.7</w:t>
            </w:r>
          </w:p>
        </w:tc>
        <w:tc>
          <w:tcPr>
            <w:tcW w:w="0" w:type="auto"/>
            <w:vAlign w:val="center"/>
            <w:hideMark/>
          </w:tcPr>
          <w:p w14:paraId="6921A04A"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Cover for loss of documents and data</w:t>
            </w:r>
          </w:p>
        </w:tc>
        <w:tc>
          <w:tcPr>
            <w:tcW w:w="0" w:type="auto"/>
            <w:vAlign w:val="center"/>
            <w:hideMark/>
          </w:tcPr>
          <w:p w14:paraId="4A0F31C4"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Evidence Bank and client materials</w:t>
            </w:r>
          </w:p>
        </w:tc>
        <w:tc>
          <w:tcPr>
            <w:tcW w:w="0" w:type="auto"/>
            <w:vAlign w:val="center"/>
            <w:hideMark/>
          </w:tcPr>
          <w:p w14:paraId="43F501D9"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w:t>
            </w:r>
          </w:p>
        </w:tc>
      </w:tr>
      <w:tr w:rsidR="00A1504F" w:rsidRPr="00A1504F" w14:paraId="5ED686AB" w14:textId="77777777">
        <w:trPr>
          <w:tblCellSpacing w:w="15" w:type="dxa"/>
        </w:trPr>
        <w:tc>
          <w:tcPr>
            <w:tcW w:w="0" w:type="auto"/>
            <w:vAlign w:val="center"/>
            <w:hideMark/>
          </w:tcPr>
          <w:p w14:paraId="307A40A2"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1.3.8</w:t>
            </w:r>
          </w:p>
        </w:tc>
        <w:tc>
          <w:tcPr>
            <w:tcW w:w="0" w:type="auto"/>
            <w:vAlign w:val="center"/>
            <w:hideMark/>
          </w:tcPr>
          <w:p w14:paraId="5D0E6675"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Cover for defamation and injurious falsehood</w:t>
            </w:r>
          </w:p>
        </w:tc>
        <w:tc>
          <w:tcPr>
            <w:tcW w:w="0" w:type="auto"/>
            <w:vAlign w:val="center"/>
            <w:hideMark/>
          </w:tcPr>
          <w:p w14:paraId="0C7D8E05"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Case study and comparative content</w:t>
            </w:r>
          </w:p>
        </w:tc>
        <w:tc>
          <w:tcPr>
            <w:tcW w:w="0" w:type="auto"/>
            <w:vAlign w:val="center"/>
            <w:hideMark/>
          </w:tcPr>
          <w:p w14:paraId="47BDFE6D"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w:t>
            </w:r>
          </w:p>
        </w:tc>
      </w:tr>
      <w:tr w:rsidR="00A1504F" w:rsidRPr="00A1504F" w14:paraId="7625212C" w14:textId="77777777">
        <w:trPr>
          <w:tblCellSpacing w:w="15" w:type="dxa"/>
        </w:trPr>
        <w:tc>
          <w:tcPr>
            <w:tcW w:w="0" w:type="auto"/>
            <w:vAlign w:val="center"/>
            <w:hideMark/>
          </w:tcPr>
          <w:p w14:paraId="66F93D9D"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1.3.9</w:t>
            </w:r>
          </w:p>
        </w:tc>
        <w:tc>
          <w:tcPr>
            <w:tcW w:w="0" w:type="auto"/>
            <w:vAlign w:val="center"/>
            <w:hideMark/>
          </w:tcPr>
          <w:p w14:paraId="02BD94AB"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Interaction between PI and cyber policies; no gap and no double exclusion</w:t>
            </w:r>
          </w:p>
        </w:tc>
        <w:tc>
          <w:tcPr>
            <w:tcW w:w="0" w:type="auto"/>
            <w:vAlign w:val="center"/>
            <w:hideMark/>
          </w:tcPr>
          <w:p w14:paraId="3DFD156D"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A data breach arising from professional services can fall between the two policies</w:t>
            </w:r>
          </w:p>
        </w:tc>
        <w:tc>
          <w:tcPr>
            <w:tcW w:w="0" w:type="auto"/>
            <w:vAlign w:val="center"/>
            <w:hideMark/>
          </w:tcPr>
          <w:p w14:paraId="312BBE02"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w:t>
            </w:r>
          </w:p>
        </w:tc>
      </w:tr>
      <w:tr w:rsidR="00A1504F" w:rsidRPr="00A1504F" w14:paraId="2956F977" w14:textId="77777777">
        <w:trPr>
          <w:tblCellSpacing w:w="15" w:type="dxa"/>
        </w:trPr>
        <w:tc>
          <w:tcPr>
            <w:tcW w:w="0" w:type="auto"/>
            <w:vAlign w:val="center"/>
            <w:hideMark/>
          </w:tcPr>
          <w:p w14:paraId="09769C02"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1.3.10</w:t>
            </w:r>
          </w:p>
        </w:tc>
        <w:tc>
          <w:tcPr>
            <w:tcW w:w="0" w:type="auto"/>
            <w:vAlign w:val="center"/>
            <w:hideMark/>
          </w:tcPr>
          <w:p w14:paraId="264BB858"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Cyber policy includes regulatory investigation defence costs and, where insurable, fines</w:t>
            </w:r>
          </w:p>
        </w:tc>
        <w:tc>
          <w:tcPr>
            <w:tcW w:w="0" w:type="auto"/>
            <w:vAlign w:val="center"/>
            <w:hideMark/>
          </w:tcPr>
          <w:p w14:paraId="41EBC39D"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ICO exposure as processor</w:t>
            </w:r>
          </w:p>
        </w:tc>
        <w:tc>
          <w:tcPr>
            <w:tcW w:w="0" w:type="auto"/>
            <w:vAlign w:val="center"/>
            <w:hideMark/>
          </w:tcPr>
          <w:p w14:paraId="0CBC27FE"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w:t>
            </w:r>
          </w:p>
        </w:tc>
      </w:tr>
      <w:tr w:rsidR="00A1504F" w:rsidRPr="00A1504F" w14:paraId="71CE3C3E" w14:textId="77777777">
        <w:trPr>
          <w:tblCellSpacing w:w="15" w:type="dxa"/>
        </w:trPr>
        <w:tc>
          <w:tcPr>
            <w:tcW w:w="0" w:type="auto"/>
            <w:vAlign w:val="center"/>
            <w:hideMark/>
          </w:tcPr>
          <w:p w14:paraId="08AD1AEF"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lastRenderedPageBreak/>
              <w:t>1.3.11</w:t>
            </w:r>
          </w:p>
        </w:tc>
        <w:tc>
          <w:tcPr>
            <w:tcW w:w="0" w:type="auto"/>
            <w:vAlign w:val="center"/>
            <w:hideMark/>
          </w:tcPr>
          <w:p w14:paraId="73EEE7FC"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Cyber policy includes incident response, forensics and notification costs</w:t>
            </w:r>
          </w:p>
        </w:tc>
        <w:tc>
          <w:tcPr>
            <w:tcW w:w="0" w:type="auto"/>
            <w:vAlign w:val="center"/>
            <w:hideMark/>
          </w:tcPr>
          <w:p w14:paraId="2F46B259"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These are the costs actually incurred in a real breach</w:t>
            </w:r>
          </w:p>
        </w:tc>
        <w:tc>
          <w:tcPr>
            <w:tcW w:w="0" w:type="auto"/>
            <w:vAlign w:val="center"/>
            <w:hideMark/>
          </w:tcPr>
          <w:p w14:paraId="4634C74A"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w:t>
            </w:r>
          </w:p>
        </w:tc>
      </w:tr>
      <w:tr w:rsidR="00A1504F" w:rsidRPr="00A1504F" w14:paraId="3BFB3FD3" w14:textId="77777777">
        <w:trPr>
          <w:tblCellSpacing w:w="15" w:type="dxa"/>
        </w:trPr>
        <w:tc>
          <w:tcPr>
            <w:tcW w:w="0" w:type="auto"/>
            <w:vAlign w:val="center"/>
            <w:hideMark/>
          </w:tcPr>
          <w:p w14:paraId="0FEA18FA"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1.3.12</w:t>
            </w:r>
          </w:p>
        </w:tc>
        <w:tc>
          <w:tcPr>
            <w:tcW w:w="0" w:type="auto"/>
            <w:vAlign w:val="center"/>
            <w:hideMark/>
          </w:tcPr>
          <w:p w14:paraId="22CCEB70"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Territorial and jurisdictional limits cover the whole United Kingdom</w:t>
            </w:r>
          </w:p>
        </w:tc>
        <w:tc>
          <w:tcPr>
            <w:tcW w:w="0" w:type="auto"/>
            <w:vAlign w:val="center"/>
            <w:hideMark/>
          </w:tcPr>
          <w:p w14:paraId="2A70FF81"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Clients and authorities nationwide</w:t>
            </w:r>
          </w:p>
        </w:tc>
        <w:tc>
          <w:tcPr>
            <w:tcW w:w="0" w:type="auto"/>
            <w:vAlign w:val="center"/>
            <w:hideMark/>
          </w:tcPr>
          <w:p w14:paraId="4C06CD35"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w:t>
            </w:r>
          </w:p>
        </w:tc>
      </w:tr>
      <w:tr w:rsidR="00A1504F" w:rsidRPr="00A1504F" w14:paraId="2C86B98F" w14:textId="77777777">
        <w:trPr>
          <w:tblCellSpacing w:w="15" w:type="dxa"/>
        </w:trPr>
        <w:tc>
          <w:tcPr>
            <w:tcW w:w="0" w:type="auto"/>
            <w:vAlign w:val="center"/>
            <w:hideMark/>
          </w:tcPr>
          <w:p w14:paraId="30CC45C3"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1.3.13</w:t>
            </w:r>
          </w:p>
        </w:tc>
        <w:tc>
          <w:tcPr>
            <w:tcW w:w="0" w:type="auto"/>
            <w:vAlign w:val="center"/>
            <w:hideMark/>
          </w:tcPr>
          <w:p w14:paraId="279D27F4"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Run-off cover available on cessation, and at what cost</w:t>
            </w:r>
          </w:p>
        </w:tc>
        <w:tc>
          <w:tcPr>
            <w:tcW w:w="0" w:type="auto"/>
            <w:vAlign w:val="center"/>
            <w:hideMark/>
          </w:tcPr>
          <w:p w14:paraId="53127483"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Claims-made cover lapses with the policy; six years' run-off matches the limitation period</w:t>
            </w:r>
          </w:p>
        </w:tc>
        <w:tc>
          <w:tcPr>
            <w:tcW w:w="0" w:type="auto"/>
            <w:vAlign w:val="center"/>
            <w:hideMark/>
          </w:tcPr>
          <w:p w14:paraId="060C9A43"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w:t>
            </w:r>
          </w:p>
        </w:tc>
      </w:tr>
      <w:tr w:rsidR="00A1504F" w:rsidRPr="00A1504F" w14:paraId="54262F54" w14:textId="77777777">
        <w:trPr>
          <w:tblCellSpacing w:w="15" w:type="dxa"/>
        </w:trPr>
        <w:tc>
          <w:tcPr>
            <w:tcW w:w="0" w:type="auto"/>
            <w:vAlign w:val="center"/>
            <w:hideMark/>
          </w:tcPr>
          <w:p w14:paraId="478965C9"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1.3.14</w:t>
            </w:r>
          </w:p>
        </w:tc>
        <w:tc>
          <w:tcPr>
            <w:tcW w:w="0" w:type="auto"/>
            <w:vAlign w:val="center"/>
            <w:hideMark/>
          </w:tcPr>
          <w:p w14:paraId="7D12AAC1"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Excess per claim and whether it applies to defence costs</w:t>
            </w:r>
          </w:p>
        </w:tc>
        <w:tc>
          <w:tcPr>
            <w:tcW w:w="0" w:type="auto"/>
            <w:vAlign w:val="center"/>
            <w:hideMark/>
          </w:tcPr>
          <w:p w14:paraId="502DAD0B"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Cash flow impact on a business with a £30,000 reserve</w:t>
            </w:r>
          </w:p>
        </w:tc>
        <w:tc>
          <w:tcPr>
            <w:tcW w:w="0" w:type="auto"/>
            <w:vAlign w:val="center"/>
            <w:hideMark/>
          </w:tcPr>
          <w:p w14:paraId="03544D4D"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w:t>
            </w:r>
          </w:p>
        </w:tc>
      </w:tr>
      <w:tr w:rsidR="00A1504F" w:rsidRPr="00A1504F" w14:paraId="20742B9C" w14:textId="77777777">
        <w:trPr>
          <w:tblCellSpacing w:w="15" w:type="dxa"/>
        </w:trPr>
        <w:tc>
          <w:tcPr>
            <w:tcW w:w="0" w:type="auto"/>
            <w:vAlign w:val="center"/>
            <w:hideMark/>
          </w:tcPr>
          <w:p w14:paraId="57F297BD"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1.3.15</w:t>
            </w:r>
          </w:p>
        </w:tc>
        <w:tc>
          <w:tcPr>
            <w:tcW w:w="0" w:type="auto"/>
            <w:vAlign w:val="center"/>
            <w:hideMark/>
          </w:tcPr>
          <w:p w14:paraId="10B3FF8F"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Conditions precedent as to notification, and the period allowed</w:t>
            </w:r>
          </w:p>
        </w:tc>
        <w:tc>
          <w:tcPr>
            <w:tcW w:w="0" w:type="auto"/>
            <w:vAlign w:val="center"/>
            <w:hideMark/>
          </w:tcPr>
          <w:p w14:paraId="645FD8E1"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Late notification voids cover; the internal procedure must match the policy wording</w:t>
            </w:r>
          </w:p>
        </w:tc>
        <w:tc>
          <w:tcPr>
            <w:tcW w:w="0" w:type="auto"/>
            <w:vAlign w:val="center"/>
            <w:hideMark/>
          </w:tcPr>
          <w:p w14:paraId="4C1017F7"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w:t>
            </w:r>
          </w:p>
        </w:tc>
      </w:tr>
      <w:tr w:rsidR="00A1504F" w:rsidRPr="00A1504F" w14:paraId="5AA0555B" w14:textId="77777777">
        <w:trPr>
          <w:tblCellSpacing w:w="15" w:type="dxa"/>
        </w:trPr>
        <w:tc>
          <w:tcPr>
            <w:tcW w:w="0" w:type="auto"/>
            <w:vAlign w:val="center"/>
            <w:hideMark/>
          </w:tcPr>
          <w:p w14:paraId="23B9C116"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1.3.16</w:t>
            </w:r>
          </w:p>
        </w:tc>
        <w:tc>
          <w:tcPr>
            <w:tcW w:w="0" w:type="auto"/>
            <w:vAlign w:val="center"/>
            <w:hideMark/>
          </w:tcPr>
          <w:p w14:paraId="2831326C"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Any exclusion for regulated activity, financial advice or mortgage advice</w:t>
            </w:r>
          </w:p>
        </w:tc>
        <w:tc>
          <w:tcPr>
            <w:tcW w:w="0" w:type="auto"/>
            <w:vAlign w:val="center"/>
            <w:hideMark/>
          </w:tcPr>
          <w:p w14:paraId="02683361"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Relevant to the planned Year 2 expansion; the policy must be revisited before any regulated work</w:t>
            </w:r>
          </w:p>
        </w:tc>
        <w:tc>
          <w:tcPr>
            <w:tcW w:w="0" w:type="auto"/>
            <w:vAlign w:val="center"/>
            <w:hideMark/>
          </w:tcPr>
          <w:p w14:paraId="7287B10E"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w:t>
            </w:r>
          </w:p>
        </w:tc>
      </w:tr>
      <w:tr w:rsidR="00A1504F" w:rsidRPr="00A1504F" w14:paraId="67E034F0" w14:textId="77777777">
        <w:trPr>
          <w:tblCellSpacing w:w="15" w:type="dxa"/>
        </w:trPr>
        <w:tc>
          <w:tcPr>
            <w:tcW w:w="0" w:type="auto"/>
            <w:vAlign w:val="center"/>
            <w:hideMark/>
          </w:tcPr>
          <w:p w14:paraId="53F76AC9"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1.3.17</w:t>
            </w:r>
          </w:p>
        </w:tc>
        <w:tc>
          <w:tcPr>
            <w:tcW w:w="0" w:type="auto"/>
            <w:vAlign w:val="center"/>
            <w:hideMark/>
          </w:tcPr>
          <w:p w14:paraId="55C87BFB"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Whether Cyber Essentials certification reduces premium or is a condition</w:t>
            </w:r>
          </w:p>
        </w:tc>
        <w:tc>
          <w:tcPr>
            <w:tcW w:w="0" w:type="auto"/>
            <w:vAlign w:val="center"/>
            <w:hideMark/>
          </w:tcPr>
          <w:p w14:paraId="074939A8"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Cyber Essentials is a Year 1 objective in any event</w:t>
            </w:r>
          </w:p>
        </w:tc>
        <w:tc>
          <w:tcPr>
            <w:tcW w:w="0" w:type="auto"/>
            <w:vAlign w:val="center"/>
            <w:hideMark/>
          </w:tcPr>
          <w:p w14:paraId="1F35A3F8"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w:t>
            </w:r>
          </w:p>
        </w:tc>
      </w:tr>
    </w:tbl>
    <w:p w14:paraId="1F5BBED8" w14:textId="77777777" w:rsidR="00A1504F" w:rsidRPr="00A1504F" w:rsidRDefault="00A1504F" w:rsidP="00A1504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1504F">
        <w:rPr>
          <w:rFonts w:ascii="Times New Roman" w:eastAsia="Times New Roman" w:hAnsi="Times New Roman" w:cs="Times New Roman"/>
          <w:b/>
          <w:bCs/>
          <w:kern w:val="0"/>
          <w:sz w:val="36"/>
          <w:szCs w:val="36"/>
          <w:lang w:eastAsia="en-GB"/>
          <w14:ligatures w14:val="none"/>
        </w:rPr>
        <w:t>1.4 Contractual commitments dependent upon insurance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2156"/>
        <w:gridCol w:w="1066"/>
        <w:gridCol w:w="5249"/>
      </w:tblGrid>
      <w:tr w:rsidR="00A1504F" w:rsidRPr="00A1504F" w14:paraId="1C49ED3B" w14:textId="77777777">
        <w:trPr>
          <w:tblHeader/>
          <w:tblCellSpacing w:w="15" w:type="dxa"/>
        </w:trPr>
        <w:tc>
          <w:tcPr>
            <w:tcW w:w="0" w:type="auto"/>
            <w:vAlign w:val="center"/>
            <w:hideMark/>
          </w:tcPr>
          <w:p w14:paraId="1DB52E47" w14:textId="77777777" w:rsidR="00A1504F" w:rsidRPr="00A1504F" w:rsidRDefault="00A1504F" w:rsidP="00A1504F">
            <w:pPr>
              <w:jc w:val="center"/>
              <w:rPr>
                <w:rFonts w:ascii="Times New Roman" w:eastAsia="Times New Roman" w:hAnsi="Times New Roman" w:cs="Times New Roman"/>
                <w:b/>
                <w:bCs/>
                <w:kern w:val="0"/>
                <w:lang w:eastAsia="en-GB"/>
                <w14:ligatures w14:val="none"/>
              </w:rPr>
            </w:pPr>
            <w:r w:rsidRPr="00A1504F">
              <w:rPr>
                <w:rFonts w:ascii="Times New Roman" w:eastAsia="Times New Roman" w:hAnsi="Times New Roman" w:cs="Times New Roman"/>
                <w:b/>
                <w:bCs/>
                <w:kern w:val="0"/>
                <w:lang w:eastAsia="en-GB"/>
                <w14:ligatures w14:val="none"/>
              </w:rPr>
              <w:t>REF</w:t>
            </w:r>
          </w:p>
        </w:tc>
        <w:tc>
          <w:tcPr>
            <w:tcW w:w="0" w:type="auto"/>
            <w:vAlign w:val="center"/>
            <w:hideMark/>
          </w:tcPr>
          <w:p w14:paraId="4ABD0A0C" w14:textId="77777777" w:rsidR="00A1504F" w:rsidRPr="00A1504F" w:rsidRDefault="00A1504F" w:rsidP="00A1504F">
            <w:pPr>
              <w:jc w:val="center"/>
              <w:rPr>
                <w:rFonts w:ascii="Times New Roman" w:eastAsia="Times New Roman" w:hAnsi="Times New Roman" w:cs="Times New Roman"/>
                <w:b/>
                <w:bCs/>
                <w:kern w:val="0"/>
                <w:lang w:eastAsia="en-GB"/>
                <w14:ligatures w14:val="none"/>
              </w:rPr>
            </w:pPr>
            <w:r w:rsidRPr="00A1504F">
              <w:rPr>
                <w:rFonts w:ascii="Times New Roman" w:eastAsia="Times New Roman" w:hAnsi="Times New Roman" w:cs="Times New Roman"/>
                <w:b/>
                <w:bCs/>
                <w:kern w:val="0"/>
                <w:lang w:eastAsia="en-GB"/>
                <w14:ligatures w14:val="none"/>
              </w:rPr>
              <w:t>DOCUMENT</w:t>
            </w:r>
          </w:p>
        </w:tc>
        <w:tc>
          <w:tcPr>
            <w:tcW w:w="0" w:type="auto"/>
            <w:vAlign w:val="center"/>
            <w:hideMark/>
          </w:tcPr>
          <w:p w14:paraId="5137474C" w14:textId="77777777" w:rsidR="00A1504F" w:rsidRPr="00A1504F" w:rsidRDefault="00A1504F" w:rsidP="00A1504F">
            <w:pPr>
              <w:jc w:val="center"/>
              <w:rPr>
                <w:rFonts w:ascii="Times New Roman" w:eastAsia="Times New Roman" w:hAnsi="Times New Roman" w:cs="Times New Roman"/>
                <w:b/>
                <w:bCs/>
                <w:kern w:val="0"/>
                <w:lang w:eastAsia="en-GB"/>
                <w14:ligatures w14:val="none"/>
              </w:rPr>
            </w:pPr>
            <w:r w:rsidRPr="00A1504F">
              <w:rPr>
                <w:rFonts w:ascii="Times New Roman" w:eastAsia="Times New Roman" w:hAnsi="Times New Roman" w:cs="Times New Roman"/>
                <w:b/>
                <w:bCs/>
                <w:kern w:val="0"/>
                <w:lang w:eastAsia="en-GB"/>
                <w14:ligatures w14:val="none"/>
              </w:rPr>
              <w:t>CLAUSE</w:t>
            </w:r>
          </w:p>
        </w:tc>
        <w:tc>
          <w:tcPr>
            <w:tcW w:w="0" w:type="auto"/>
            <w:vAlign w:val="center"/>
            <w:hideMark/>
          </w:tcPr>
          <w:p w14:paraId="50B71FC0" w14:textId="77777777" w:rsidR="00A1504F" w:rsidRPr="00A1504F" w:rsidRDefault="00A1504F" w:rsidP="00A1504F">
            <w:pPr>
              <w:jc w:val="center"/>
              <w:rPr>
                <w:rFonts w:ascii="Times New Roman" w:eastAsia="Times New Roman" w:hAnsi="Times New Roman" w:cs="Times New Roman"/>
                <w:b/>
                <w:bCs/>
                <w:kern w:val="0"/>
                <w:lang w:eastAsia="en-GB"/>
                <w14:ligatures w14:val="none"/>
              </w:rPr>
            </w:pPr>
            <w:r w:rsidRPr="00A1504F">
              <w:rPr>
                <w:rFonts w:ascii="Times New Roman" w:eastAsia="Times New Roman" w:hAnsi="Times New Roman" w:cs="Times New Roman"/>
                <w:b/>
                <w:bCs/>
                <w:kern w:val="0"/>
                <w:lang w:eastAsia="en-GB"/>
                <w14:ligatures w14:val="none"/>
              </w:rPr>
              <w:t>COMMITMENT</w:t>
            </w:r>
          </w:p>
        </w:tc>
      </w:tr>
      <w:tr w:rsidR="00A1504F" w:rsidRPr="00A1504F" w14:paraId="5284BB83" w14:textId="77777777">
        <w:trPr>
          <w:tblCellSpacing w:w="15" w:type="dxa"/>
        </w:trPr>
        <w:tc>
          <w:tcPr>
            <w:tcW w:w="0" w:type="auto"/>
            <w:vAlign w:val="center"/>
            <w:hideMark/>
          </w:tcPr>
          <w:p w14:paraId="5B1EBA29"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1.4.1</w:t>
            </w:r>
          </w:p>
        </w:tc>
        <w:tc>
          <w:tcPr>
            <w:tcW w:w="0" w:type="auto"/>
            <w:vAlign w:val="center"/>
            <w:hideMark/>
          </w:tcPr>
          <w:p w14:paraId="44D8ACE8"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Terms of Engagement</w:t>
            </w:r>
          </w:p>
        </w:tc>
        <w:tc>
          <w:tcPr>
            <w:tcW w:w="0" w:type="auto"/>
            <w:vAlign w:val="center"/>
            <w:hideMark/>
          </w:tcPr>
          <w:p w14:paraId="476E1D58"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F.6</w:t>
            </w:r>
          </w:p>
        </w:tc>
        <w:tc>
          <w:tcPr>
            <w:tcW w:w="0" w:type="auto"/>
            <w:vAlign w:val="center"/>
            <w:hideMark/>
          </w:tcPr>
          <w:p w14:paraId="6668835F"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Statement of PI cover and insurer to clients — must be accurate at the date of every engagement</w:t>
            </w:r>
          </w:p>
        </w:tc>
      </w:tr>
      <w:tr w:rsidR="00A1504F" w:rsidRPr="00A1504F" w14:paraId="5229EEA4" w14:textId="77777777">
        <w:trPr>
          <w:tblCellSpacing w:w="15" w:type="dxa"/>
        </w:trPr>
        <w:tc>
          <w:tcPr>
            <w:tcW w:w="0" w:type="auto"/>
            <w:vAlign w:val="center"/>
            <w:hideMark/>
          </w:tcPr>
          <w:p w14:paraId="491A6EED"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1.4.2</w:t>
            </w:r>
          </w:p>
        </w:tc>
        <w:tc>
          <w:tcPr>
            <w:tcW w:w="0" w:type="auto"/>
            <w:vAlign w:val="center"/>
            <w:hideMark/>
          </w:tcPr>
          <w:p w14:paraId="161E47E0"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Terms of Engagement</w:t>
            </w:r>
          </w:p>
        </w:tc>
        <w:tc>
          <w:tcPr>
            <w:tcW w:w="0" w:type="auto"/>
            <w:vAlign w:val="center"/>
            <w:hideMark/>
          </w:tcPr>
          <w:p w14:paraId="22B824AF"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A.1.14, F.4</w:t>
            </w:r>
          </w:p>
        </w:tc>
        <w:tc>
          <w:tcPr>
            <w:tcW w:w="0" w:type="auto"/>
            <w:vAlign w:val="center"/>
            <w:hideMark/>
          </w:tcPr>
          <w:p w14:paraId="0D640BEB"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Liability cap set with reference to available cover</w:t>
            </w:r>
          </w:p>
        </w:tc>
      </w:tr>
      <w:tr w:rsidR="00A1504F" w:rsidRPr="00A1504F" w14:paraId="59F388FC" w14:textId="77777777">
        <w:trPr>
          <w:tblCellSpacing w:w="15" w:type="dxa"/>
        </w:trPr>
        <w:tc>
          <w:tcPr>
            <w:tcW w:w="0" w:type="auto"/>
            <w:vAlign w:val="center"/>
            <w:hideMark/>
          </w:tcPr>
          <w:p w14:paraId="2DB4F33A"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1.4.3</w:t>
            </w:r>
          </w:p>
        </w:tc>
        <w:tc>
          <w:tcPr>
            <w:tcW w:w="0" w:type="auto"/>
            <w:vAlign w:val="center"/>
            <w:hideMark/>
          </w:tcPr>
          <w:p w14:paraId="11E3D642"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Terms of Engagement</w:t>
            </w:r>
          </w:p>
        </w:tc>
        <w:tc>
          <w:tcPr>
            <w:tcW w:w="0" w:type="auto"/>
            <w:vAlign w:val="center"/>
            <w:hideMark/>
          </w:tcPr>
          <w:p w14:paraId="6C9F61D0"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G.5.1</w:t>
            </w:r>
          </w:p>
        </w:tc>
        <w:tc>
          <w:tcPr>
            <w:tcW w:w="0" w:type="auto"/>
            <w:vAlign w:val="center"/>
            <w:hideMark/>
          </w:tcPr>
          <w:p w14:paraId="39785F79"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Retention of engagement files for PI purposes for at least six years</w:t>
            </w:r>
          </w:p>
        </w:tc>
      </w:tr>
      <w:tr w:rsidR="00A1504F" w:rsidRPr="00A1504F" w14:paraId="54281D08" w14:textId="77777777">
        <w:trPr>
          <w:tblCellSpacing w:w="15" w:type="dxa"/>
        </w:trPr>
        <w:tc>
          <w:tcPr>
            <w:tcW w:w="0" w:type="auto"/>
            <w:vAlign w:val="center"/>
            <w:hideMark/>
          </w:tcPr>
          <w:p w14:paraId="6EDB1831"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1.4.4</w:t>
            </w:r>
          </w:p>
        </w:tc>
        <w:tc>
          <w:tcPr>
            <w:tcW w:w="0" w:type="auto"/>
            <w:vAlign w:val="center"/>
            <w:hideMark/>
          </w:tcPr>
          <w:p w14:paraId="663BF82D"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Shareholders' and Directors' Agreement</w:t>
            </w:r>
          </w:p>
        </w:tc>
        <w:tc>
          <w:tcPr>
            <w:tcW w:w="0" w:type="auto"/>
            <w:vAlign w:val="center"/>
            <w:hideMark/>
          </w:tcPr>
          <w:p w14:paraId="25ACB13D"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14.1–14.5</w:t>
            </w:r>
          </w:p>
        </w:tc>
        <w:tc>
          <w:tcPr>
            <w:tcW w:w="0" w:type="auto"/>
            <w:vAlign w:val="center"/>
            <w:hideMark/>
          </w:tcPr>
          <w:p w14:paraId="6D18314C"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Obligation to maintain PI at levels appropriate to engagement values; annual review; no act vitiating cover</w:t>
            </w:r>
          </w:p>
        </w:tc>
      </w:tr>
      <w:tr w:rsidR="00A1504F" w:rsidRPr="00A1504F" w14:paraId="24F5BDA3" w14:textId="77777777">
        <w:trPr>
          <w:tblCellSpacing w:w="15" w:type="dxa"/>
        </w:trPr>
        <w:tc>
          <w:tcPr>
            <w:tcW w:w="0" w:type="auto"/>
            <w:vAlign w:val="center"/>
            <w:hideMark/>
          </w:tcPr>
          <w:p w14:paraId="21EE8F74"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1.4.5</w:t>
            </w:r>
          </w:p>
        </w:tc>
        <w:tc>
          <w:tcPr>
            <w:tcW w:w="0" w:type="auto"/>
            <w:vAlign w:val="center"/>
            <w:hideMark/>
          </w:tcPr>
          <w:p w14:paraId="58021CEC"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Associate Agreement</w:t>
            </w:r>
          </w:p>
        </w:tc>
        <w:tc>
          <w:tcPr>
            <w:tcW w:w="0" w:type="auto"/>
            <w:vAlign w:val="center"/>
            <w:hideMark/>
          </w:tcPr>
          <w:p w14:paraId="641C6405"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11.1–11.2</w:t>
            </w:r>
          </w:p>
        </w:tc>
        <w:tc>
          <w:tcPr>
            <w:tcW w:w="0" w:type="auto"/>
            <w:vAlign w:val="center"/>
            <w:hideMark/>
          </w:tcPr>
          <w:p w14:paraId="30360F4D"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Associate to hold PI of at least £[MINIMUM PI LIMIT] and PL of at least £[MINIMUM PL LIMIT], with six years' run-off, evidenced annually</w:t>
            </w:r>
          </w:p>
        </w:tc>
      </w:tr>
      <w:tr w:rsidR="00A1504F" w:rsidRPr="00A1504F" w14:paraId="6D4C5B6D" w14:textId="77777777">
        <w:trPr>
          <w:tblCellSpacing w:w="15" w:type="dxa"/>
        </w:trPr>
        <w:tc>
          <w:tcPr>
            <w:tcW w:w="0" w:type="auto"/>
            <w:vAlign w:val="center"/>
            <w:hideMark/>
          </w:tcPr>
          <w:p w14:paraId="0278E6B1"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1.4.6</w:t>
            </w:r>
          </w:p>
        </w:tc>
        <w:tc>
          <w:tcPr>
            <w:tcW w:w="0" w:type="auto"/>
            <w:vAlign w:val="center"/>
            <w:hideMark/>
          </w:tcPr>
          <w:p w14:paraId="7336CAEC"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Data Processing Agreement</w:t>
            </w:r>
          </w:p>
        </w:tc>
        <w:tc>
          <w:tcPr>
            <w:tcW w:w="0" w:type="auto"/>
            <w:vAlign w:val="center"/>
            <w:hideMark/>
          </w:tcPr>
          <w:p w14:paraId="1813A98A"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2.4.1</w:t>
            </w:r>
          </w:p>
        </w:tc>
        <w:tc>
          <w:tcPr>
            <w:tcW w:w="0" w:type="auto"/>
            <w:vAlign w:val="center"/>
            <w:hideMark/>
          </w:tcPr>
          <w:p w14:paraId="455BC975"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Indemnity for regulatory fines — check insurability under the cyber policy</w:t>
            </w:r>
          </w:p>
        </w:tc>
      </w:tr>
    </w:tbl>
    <w:p w14:paraId="255C6135" w14:textId="77777777" w:rsidR="00A1504F" w:rsidRPr="00A1504F" w:rsidRDefault="00A1504F" w:rsidP="00A1504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1504F">
        <w:rPr>
          <w:rFonts w:ascii="Times New Roman" w:eastAsia="Times New Roman" w:hAnsi="Times New Roman" w:cs="Times New Roman"/>
          <w:b/>
          <w:bCs/>
          <w:kern w:val="0"/>
          <w:sz w:val="36"/>
          <w:szCs w:val="36"/>
          <w:lang w:eastAsia="en-GB"/>
          <w14:ligatures w14:val="none"/>
        </w:rPr>
        <w:t>1.5 Operating rules</w:t>
      </w:r>
    </w:p>
    <w:p w14:paraId="6409E46D" w14:textId="77777777" w:rsidR="00A1504F" w:rsidRPr="00A1504F" w:rsidRDefault="00A1504F" w:rsidP="00A1504F">
      <w:pPr>
        <w:spacing w:before="100" w:beforeAutospacing="1" w:after="100" w:afterAutospacing="1"/>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1.5.1 No engagement shall be accepted before professional indemnity cover is in force.</w:t>
      </w:r>
    </w:p>
    <w:p w14:paraId="6A8D0FF3" w14:textId="77777777" w:rsidR="00A1504F" w:rsidRPr="00A1504F" w:rsidRDefault="00A1504F" w:rsidP="00A1504F">
      <w:pPr>
        <w:spacing w:before="100" w:beforeAutospacing="1" w:after="100" w:afterAutospacing="1"/>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lastRenderedPageBreak/>
        <w:t>1.5.2 The statement of cover at paragraph F.6 of the Terms of Engagement shall be updated at every renewal and before issue of any engagement particulars.</w:t>
      </w:r>
    </w:p>
    <w:p w14:paraId="40A9BBC3" w14:textId="77777777" w:rsidR="00A1504F" w:rsidRPr="00A1504F" w:rsidRDefault="00A1504F" w:rsidP="00A1504F">
      <w:pPr>
        <w:spacing w:before="100" w:beforeAutospacing="1" w:after="100" w:afterAutospacing="1"/>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1.5.3 The Company shall review the adequacy of cover: at each renewal; upon any increase in typical engagement value; upon the first engagement exceeding £[REVIEW TRIGGER — DEFAULT 5,000]; upon the first framework or consortium engagement; and before any regulated activity is contemplated.</w:t>
      </w:r>
    </w:p>
    <w:p w14:paraId="4A95038D" w14:textId="77777777" w:rsidR="00A1504F" w:rsidRPr="00A1504F" w:rsidRDefault="00A1504F" w:rsidP="00A1504F">
      <w:pPr>
        <w:spacing w:before="100" w:beforeAutospacing="1" w:after="100" w:afterAutospacing="1"/>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1.5.4 The Company shall notify insurers of any circumstance which may give rise to a claim as soon as it becomes aware of it, and in any event within the period specified in the policy. The complaints procedure and the internal escalation rules shall be aligned to that period.</w:t>
      </w:r>
    </w:p>
    <w:p w14:paraId="51B61EA6" w14:textId="77777777" w:rsidR="00A1504F" w:rsidRPr="00A1504F" w:rsidRDefault="00A1504F" w:rsidP="00A1504F">
      <w:pPr>
        <w:spacing w:before="100" w:beforeAutospacing="1" w:after="100" w:afterAutospacing="1"/>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1.5.5 The Company shall verify each Associate's insurance before the first Engagement Instruction and annually thereafter, and shall record the verification at Annex G of the Associate and Supplier Pack.</w:t>
      </w:r>
    </w:p>
    <w:p w14:paraId="52C2ABC2" w14:textId="77777777" w:rsidR="00A1504F" w:rsidRPr="00A1504F" w:rsidRDefault="00A1504F" w:rsidP="00A1504F">
      <w:pPr>
        <w:spacing w:before="100" w:beforeAutospacing="1" w:after="100" w:afterAutospacing="1"/>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1.5.6 The Company shall keep certificates of insurance readily available, PQQs routinely requiring them at short notice.</w:t>
      </w:r>
    </w:p>
    <w:p w14:paraId="11440912" w14:textId="77777777" w:rsidR="00A1504F" w:rsidRPr="00A1504F" w:rsidRDefault="00A1504F" w:rsidP="00A1504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1504F">
        <w:rPr>
          <w:rFonts w:ascii="Times New Roman" w:eastAsia="Times New Roman" w:hAnsi="Times New Roman" w:cs="Times New Roman"/>
          <w:b/>
          <w:bCs/>
          <w:kern w:val="0"/>
          <w:sz w:val="36"/>
          <w:szCs w:val="36"/>
          <w:lang w:eastAsia="en-GB"/>
          <w14:ligatures w14:val="none"/>
        </w:rPr>
        <w:t>1.6 Current position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3918"/>
        <w:gridCol w:w="4433"/>
      </w:tblGrid>
      <w:tr w:rsidR="00A1504F" w:rsidRPr="00A1504F" w14:paraId="7D38C5A0" w14:textId="77777777">
        <w:trPr>
          <w:tblHeader/>
          <w:tblCellSpacing w:w="15" w:type="dxa"/>
        </w:trPr>
        <w:tc>
          <w:tcPr>
            <w:tcW w:w="0" w:type="auto"/>
            <w:vAlign w:val="center"/>
            <w:hideMark/>
          </w:tcPr>
          <w:p w14:paraId="7A1CB7F9" w14:textId="77777777" w:rsidR="00A1504F" w:rsidRPr="00A1504F" w:rsidRDefault="00A1504F" w:rsidP="00A1504F">
            <w:pPr>
              <w:jc w:val="center"/>
              <w:rPr>
                <w:rFonts w:ascii="Times New Roman" w:eastAsia="Times New Roman" w:hAnsi="Times New Roman" w:cs="Times New Roman"/>
                <w:b/>
                <w:bCs/>
                <w:kern w:val="0"/>
                <w:lang w:eastAsia="en-GB"/>
                <w14:ligatures w14:val="none"/>
              </w:rPr>
            </w:pPr>
            <w:r w:rsidRPr="00A1504F">
              <w:rPr>
                <w:rFonts w:ascii="Times New Roman" w:eastAsia="Times New Roman" w:hAnsi="Times New Roman" w:cs="Times New Roman"/>
                <w:b/>
                <w:bCs/>
                <w:kern w:val="0"/>
                <w:lang w:eastAsia="en-GB"/>
                <w14:ligatures w14:val="none"/>
              </w:rPr>
              <w:t>REF</w:t>
            </w:r>
          </w:p>
        </w:tc>
        <w:tc>
          <w:tcPr>
            <w:tcW w:w="0" w:type="auto"/>
            <w:vAlign w:val="center"/>
            <w:hideMark/>
          </w:tcPr>
          <w:p w14:paraId="3ACAD3C1" w14:textId="77777777" w:rsidR="00A1504F" w:rsidRPr="00A1504F" w:rsidRDefault="00A1504F" w:rsidP="00A1504F">
            <w:pPr>
              <w:jc w:val="center"/>
              <w:rPr>
                <w:rFonts w:ascii="Times New Roman" w:eastAsia="Times New Roman" w:hAnsi="Times New Roman" w:cs="Times New Roman"/>
                <w:b/>
                <w:bCs/>
                <w:kern w:val="0"/>
                <w:lang w:eastAsia="en-GB"/>
                <w14:ligatures w14:val="none"/>
              </w:rPr>
            </w:pPr>
            <w:r w:rsidRPr="00A1504F">
              <w:rPr>
                <w:rFonts w:ascii="Times New Roman" w:eastAsia="Times New Roman" w:hAnsi="Times New Roman" w:cs="Times New Roman"/>
                <w:b/>
                <w:bCs/>
                <w:kern w:val="0"/>
                <w:lang w:eastAsia="en-GB"/>
                <w14:ligatures w14:val="none"/>
              </w:rPr>
              <w:t>ITEM</w:t>
            </w:r>
          </w:p>
        </w:tc>
        <w:tc>
          <w:tcPr>
            <w:tcW w:w="0" w:type="auto"/>
            <w:vAlign w:val="center"/>
            <w:hideMark/>
          </w:tcPr>
          <w:p w14:paraId="122A562D" w14:textId="77777777" w:rsidR="00A1504F" w:rsidRPr="00A1504F" w:rsidRDefault="00A1504F" w:rsidP="00A1504F">
            <w:pPr>
              <w:jc w:val="center"/>
              <w:rPr>
                <w:rFonts w:ascii="Times New Roman" w:eastAsia="Times New Roman" w:hAnsi="Times New Roman" w:cs="Times New Roman"/>
                <w:b/>
                <w:bCs/>
                <w:kern w:val="0"/>
                <w:lang w:eastAsia="en-GB"/>
                <w14:ligatures w14:val="none"/>
              </w:rPr>
            </w:pPr>
            <w:r w:rsidRPr="00A1504F">
              <w:rPr>
                <w:rFonts w:ascii="Times New Roman" w:eastAsia="Times New Roman" w:hAnsi="Times New Roman" w:cs="Times New Roman"/>
                <w:b/>
                <w:bCs/>
                <w:kern w:val="0"/>
                <w:lang w:eastAsia="en-GB"/>
                <w14:ligatures w14:val="none"/>
              </w:rPr>
              <w:t>ENTRY</w:t>
            </w:r>
          </w:p>
        </w:tc>
      </w:tr>
      <w:tr w:rsidR="00A1504F" w:rsidRPr="00A1504F" w14:paraId="4D54F93A" w14:textId="77777777">
        <w:trPr>
          <w:tblCellSpacing w:w="15" w:type="dxa"/>
        </w:trPr>
        <w:tc>
          <w:tcPr>
            <w:tcW w:w="0" w:type="auto"/>
            <w:vAlign w:val="center"/>
            <w:hideMark/>
          </w:tcPr>
          <w:p w14:paraId="06027DB2"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1.6.1</w:t>
            </w:r>
          </w:p>
        </w:tc>
        <w:tc>
          <w:tcPr>
            <w:tcW w:w="0" w:type="auto"/>
            <w:vAlign w:val="center"/>
            <w:hideMark/>
          </w:tcPr>
          <w:p w14:paraId="289CBECD"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Broker</w:t>
            </w:r>
          </w:p>
        </w:tc>
        <w:tc>
          <w:tcPr>
            <w:tcW w:w="0" w:type="auto"/>
            <w:vAlign w:val="center"/>
            <w:hideMark/>
          </w:tcPr>
          <w:p w14:paraId="20508D99"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[NAME, FIRM, FCA NUMBER, CONTACT]</w:t>
            </w:r>
          </w:p>
        </w:tc>
      </w:tr>
      <w:tr w:rsidR="00A1504F" w:rsidRPr="00A1504F" w14:paraId="5D145772" w14:textId="77777777">
        <w:trPr>
          <w:tblCellSpacing w:w="15" w:type="dxa"/>
        </w:trPr>
        <w:tc>
          <w:tcPr>
            <w:tcW w:w="0" w:type="auto"/>
            <w:vAlign w:val="center"/>
            <w:hideMark/>
          </w:tcPr>
          <w:p w14:paraId="4FEA0D52"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1.6.2</w:t>
            </w:r>
          </w:p>
        </w:tc>
        <w:tc>
          <w:tcPr>
            <w:tcW w:w="0" w:type="auto"/>
            <w:vAlign w:val="center"/>
            <w:hideMark/>
          </w:tcPr>
          <w:p w14:paraId="610DE82A"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PI insurer, policy number, limit, basis, excess</w:t>
            </w:r>
          </w:p>
        </w:tc>
        <w:tc>
          <w:tcPr>
            <w:tcW w:w="0" w:type="auto"/>
            <w:vAlign w:val="center"/>
            <w:hideMark/>
          </w:tcPr>
          <w:p w14:paraId="6D908A3E"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w:t>
            </w:r>
          </w:p>
        </w:tc>
      </w:tr>
      <w:tr w:rsidR="00A1504F" w:rsidRPr="00A1504F" w14:paraId="62DD4BF5" w14:textId="77777777">
        <w:trPr>
          <w:tblCellSpacing w:w="15" w:type="dxa"/>
        </w:trPr>
        <w:tc>
          <w:tcPr>
            <w:tcW w:w="0" w:type="auto"/>
            <w:vAlign w:val="center"/>
            <w:hideMark/>
          </w:tcPr>
          <w:p w14:paraId="706B920B"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1.6.3</w:t>
            </w:r>
          </w:p>
        </w:tc>
        <w:tc>
          <w:tcPr>
            <w:tcW w:w="0" w:type="auto"/>
            <w:vAlign w:val="center"/>
            <w:hideMark/>
          </w:tcPr>
          <w:p w14:paraId="69CEA3D5"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PI period of insurance and renewal date</w:t>
            </w:r>
          </w:p>
        </w:tc>
        <w:tc>
          <w:tcPr>
            <w:tcW w:w="0" w:type="auto"/>
            <w:vAlign w:val="center"/>
            <w:hideMark/>
          </w:tcPr>
          <w:p w14:paraId="37701B8A"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w:t>
            </w:r>
          </w:p>
        </w:tc>
      </w:tr>
      <w:tr w:rsidR="00A1504F" w:rsidRPr="00A1504F" w14:paraId="4A4AD3BE" w14:textId="77777777">
        <w:trPr>
          <w:tblCellSpacing w:w="15" w:type="dxa"/>
        </w:trPr>
        <w:tc>
          <w:tcPr>
            <w:tcW w:w="0" w:type="auto"/>
            <w:vAlign w:val="center"/>
            <w:hideMark/>
          </w:tcPr>
          <w:p w14:paraId="5EB7D323"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1.6.4</w:t>
            </w:r>
          </w:p>
        </w:tc>
        <w:tc>
          <w:tcPr>
            <w:tcW w:w="0" w:type="auto"/>
            <w:vAlign w:val="center"/>
            <w:hideMark/>
          </w:tcPr>
          <w:p w14:paraId="4D2BDD73"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PI retroactive date</w:t>
            </w:r>
          </w:p>
        </w:tc>
        <w:tc>
          <w:tcPr>
            <w:tcW w:w="0" w:type="auto"/>
            <w:vAlign w:val="center"/>
            <w:hideMark/>
          </w:tcPr>
          <w:p w14:paraId="26DB68A9"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w:t>
            </w:r>
          </w:p>
        </w:tc>
      </w:tr>
      <w:tr w:rsidR="00A1504F" w:rsidRPr="00A1504F" w14:paraId="42D99ABE" w14:textId="77777777">
        <w:trPr>
          <w:tblCellSpacing w:w="15" w:type="dxa"/>
        </w:trPr>
        <w:tc>
          <w:tcPr>
            <w:tcW w:w="0" w:type="auto"/>
            <w:vAlign w:val="center"/>
            <w:hideMark/>
          </w:tcPr>
          <w:p w14:paraId="33A9EA47"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1.6.5</w:t>
            </w:r>
          </w:p>
        </w:tc>
        <w:tc>
          <w:tcPr>
            <w:tcW w:w="0" w:type="auto"/>
            <w:vAlign w:val="center"/>
            <w:hideMark/>
          </w:tcPr>
          <w:p w14:paraId="188D7FDC"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Cyber insurer, policy number, limit, excess</w:t>
            </w:r>
          </w:p>
        </w:tc>
        <w:tc>
          <w:tcPr>
            <w:tcW w:w="0" w:type="auto"/>
            <w:vAlign w:val="center"/>
            <w:hideMark/>
          </w:tcPr>
          <w:p w14:paraId="076EDB24"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w:t>
            </w:r>
          </w:p>
        </w:tc>
      </w:tr>
      <w:tr w:rsidR="00A1504F" w:rsidRPr="00A1504F" w14:paraId="61C05F87" w14:textId="77777777">
        <w:trPr>
          <w:tblCellSpacing w:w="15" w:type="dxa"/>
        </w:trPr>
        <w:tc>
          <w:tcPr>
            <w:tcW w:w="0" w:type="auto"/>
            <w:vAlign w:val="center"/>
            <w:hideMark/>
          </w:tcPr>
          <w:p w14:paraId="31123A60"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1.6.6</w:t>
            </w:r>
          </w:p>
        </w:tc>
        <w:tc>
          <w:tcPr>
            <w:tcW w:w="0" w:type="auto"/>
            <w:vAlign w:val="center"/>
            <w:hideMark/>
          </w:tcPr>
          <w:p w14:paraId="23563611"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Cyber period of insurance and renewal date</w:t>
            </w:r>
          </w:p>
        </w:tc>
        <w:tc>
          <w:tcPr>
            <w:tcW w:w="0" w:type="auto"/>
            <w:vAlign w:val="center"/>
            <w:hideMark/>
          </w:tcPr>
          <w:p w14:paraId="3D64DEB3"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w:t>
            </w:r>
          </w:p>
        </w:tc>
      </w:tr>
      <w:tr w:rsidR="00A1504F" w:rsidRPr="00A1504F" w14:paraId="4A9D754D" w14:textId="77777777">
        <w:trPr>
          <w:tblCellSpacing w:w="15" w:type="dxa"/>
        </w:trPr>
        <w:tc>
          <w:tcPr>
            <w:tcW w:w="0" w:type="auto"/>
            <w:vAlign w:val="center"/>
            <w:hideMark/>
          </w:tcPr>
          <w:p w14:paraId="2C1DAA77"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1.6.7</w:t>
            </w:r>
          </w:p>
        </w:tc>
        <w:tc>
          <w:tcPr>
            <w:tcW w:w="0" w:type="auto"/>
            <w:vAlign w:val="center"/>
            <w:hideMark/>
          </w:tcPr>
          <w:p w14:paraId="09216AB4"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Public liability insurer, policy number, limit</w:t>
            </w:r>
          </w:p>
        </w:tc>
        <w:tc>
          <w:tcPr>
            <w:tcW w:w="0" w:type="auto"/>
            <w:vAlign w:val="center"/>
            <w:hideMark/>
          </w:tcPr>
          <w:p w14:paraId="62073C34"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w:t>
            </w:r>
          </w:p>
        </w:tc>
      </w:tr>
      <w:tr w:rsidR="00A1504F" w:rsidRPr="00A1504F" w14:paraId="746BE5DF" w14:textId="77777777">
        <w:trPr>
          <w:tblCellSpacing w:w="15" w:type="dxa"/>
        </w:trPr>
        <w:tc>
          <w:tcPr>
            <w:tcW w:w="0" w:type="auto"/>
            <w:vAlign w:val="center"/>
            <w:hideMark/>
          </w:tcPr>
          <w:p w14:paraId="15A9DFB8"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1.6.8</w:t>
            </w:r>
          </w:p>
        </w:tc>
        <w:tc>
          <w:tcPr>
            <w:tcW w:w="0" w:type="auto"/>
            <w:vAlign w:val="center"/>
            <w:hideMark/>
          </w:tcPr>
          <w:p w14:paraId="30F85A08"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Employers' liability — required?</w:t>
            </w:r>
          </w:p>
        </w:tc>
        <w:tc>
          <w:tcPr>
            <w:tcW w:w="0" w:type="auto"/>
            <w:vAlign w:val="center"/>
            <w:hideMark/>
          </w:tcPr>
          <w:p w14:paraId="42A2A39F"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[NO — NO EMPLOYEES / YES — POLICY [●]]</w:t>
            </w:r>
          </w:p>
        </w:tc>
      </w:tr>
      <w:tr w:rsidR="00A1504F" w:rsidRPr="00A1504F" w14:paraId="44989D97" w14:textId="77777777">
        <w:trPr>
          <w:tblCellSpacing w:w="15" w:type="dxa"/>
        </w:trPr>
        <w:tc>
          <w:tcPr>
            <w:tcW w:w="0" w:type="auto"/>
            <w:vAlign w:val="center"/>
            <w:hideMark/>
          </w:tcPr>
          <w:p w14:paraId="6A5E976B"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1.6.9</w:t>
            </w:r>
          </w:p>
        </w:tc>
        <w:tc>
          <w:tcPr>
            <w:tcW w:w="0" w:type="auto"/>
            <w:vAlign w:val="center"/>
            <w:hideMark/>
          </w:tcPr>
          <w:p w14:paraId="49E3C401"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Notification contact and out-of-hours route</w:t>
            </w:r>
          </w:p>
        </w:tc>
        <w:tc>
          <w:tcPr>
            <w:tcW w:w="0" w:type="auto"/>
            <w:vAlign w:val="center"/>
            <w:hideMark/>
          </w:tcPr>
          <w:p w14:paraId="41E335ED"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w:t>
            </w:r>
          </w:p>
        </w:tc>
      </w:tr>
      <w:tr w:rsidR="00A1504F" w:rsidRPr="00A1504F" w14:paraId="67917BFE" w14:textId="77777777">
        <w:trPr>
          <w:tblCellSpacing w:w="15" w:type="dxa"/>
        </w:trPr>
        <w:tc>
          <w:tcPr>
            <w:tcW w:w="0" w:type="auto"/>
            <w:vAlign w:val="center"/>
            <w:hideMark/>
          </w:tcPr>
          <w:p w14:paraId="2DE27130"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1.6.10</w:t>
            </w:r>
          </w:p>
        </w:tc>
        <w:tc>
          <w:tcPr>
            <w:tcW w:w="0" w:type="auto"/>
            <w:vAlign w:val="center"/>
            <w:hideMark/>
          </w:tcPr>
          <w:p w14:paraId="631D1547"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Date of last review</w:t>
            </w:r>
          </w:p>
        </w:tc>
        <w:tc>
          <w:tcPr>
            <w:tcW w:w="0" w:type="auto"/>
            <w:vAlign w:val="center"/>
            <w:hideMark/>
          </w:tcPr>
          <w:p w14:paraId="6DC632A3" w14:textId="77777777" w:rsidR="00A1504F" w:rsidRPr="00A1504F" w:rsidRDefault="00A1504F" w:rsidP="00A1504F">
            <w:pPr>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w:t>
            </w:r>
          </w:p>
        </w:tc>
      </w:tr>
    </w:tbl>
    <w:p w14:paraId="534EA4F3" w14:textId="77777777" w:rsidR="00A1504F" w:rsidRPr="00A1504F" w:rsidRDefault="00E449FC" w:rsidP="00A1504F">
      <w:pPr>
        <w:rPr>
          <w:rFonts w:ascii="Times New Roman" w:eastAsia="Times New Roman" w:hAnsi="Times New Roman" w:cs="Times New Roman"/>
          <w:kern w:val="0"/>
          <w:lang w:eastAsia="en-GB"/>
          <w14:ligatures w14:val="none"/>
        </w:rPr>
      </w:pPr>
      <w:r w:rsidRPr="00E449FC">
        <w:rPr>
          <w:rFonts w:ascii="Times New Roman" w:eastAsia="Times New Roman" w:hAnsi="Times New Roman" w:cs="Times New Roman"/>
          <w:noProof/>
          <w:kern w:val="0"/>
          <w:lang w:eastAsia="en-GB"/>
        </w:rPr>
        <w:pict w14:anchorId="4C20BE96">
          <v:rect id="_x0000_i1026" alt="" style="width:451.3pt;height:.05pt;mso-width-percent:0;mso-height-percent:0;mso-width-percent:0;mso-height-percent:0" o:hralign="center" o:hrstd="t" o:hr="t" fillcolor="#a0a0a0" stroked="f"/>
        </w:pict>
      </w:r>
    </w:p>
    <w:p w14:paraId="0B1AEAC7" w14:textId="77777777" w:rsidR="00A1504F" w:rsidRPr="00A1504F" w:rsidRDefault="00A1504F" w:rsidP="00A1504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1504F">
        <w:rPr>
          <w:rFonts w:ascii="Times New Roman" w:eastAsia="Times New Roman" w:hAnsi="Times New Roman" w:cs="Times New Roman"/>
          <w:b/>
          <w:bCs/>
          <w:kern w:val="36"/>
          <w:sz w:val="48"/>
          <w:szCs w:val="48"/>
          <w:lang w:eastAsia="en-GB"/>
          <w14:ligatures w14:val="none"/>
        </w:rPr>
        <w:t>PART 2 — BROKER INSTRUCTION</w:t>
      </w:r>
    </w:p>
    <w:p w14:paraId="22AD885F" w14:textId="77777777" w:rsidR="00A1504F" w:rsidRPr="00A1504F" w:rsidRDefault="00A1504F" w:rsidP="00A1504F">
      <w:pPr>
        <w:spacing w:before="100" w:beforeAutospacing="1" w:after="100" w:afterAutospacing="1"/>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i/>
          <w:iCs/>
          <w:kern w:val="0"/>
          <w:lang w:eastAsia="en-GB"/>
          <w14:ligatures w14:val="none"/>
        </w:rPr>
        <w:t>To be sent to a regulated insurance broker. Attach the Business Plan, the Terms of Engagement and this Schedule.</w:t>
      </w:r>
    </w:p>
    <w:p w14:paraId="76556133" w14:textId="77777777" w:rsidR="00A1504F" w:rsidRPr="00A1504F" w:rsidRDefault="00E449FC" w:rsidP="00A1504F">
      <w:pPr>
        <w:rPr>
          <w:rFonts w:ascii="Times New Roman" w:eastAsia="Times New Roman" w:hAnsi="Times New Roman" w:cs="Times New Roman"/>
          <w:kern w:val="0"/>
          <w:lang w:eastAsia="en-GB"/>
          <w14:ligatures w14:val="none"/>
        </w:rPr>
      </w:pPr>
      <w:r>
        <w:rPr>
          <w:noProof/>
        </w:rPr>
      </w:r>
      <w:r>
        <w:pict w14:anchorId="3A2A9A7F">
          <v:rect id="Horizontal Lin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47EE6AD" w14:textId="77777777" w:rsidR="00A1504F" w:rsidRPr="00A1504F" w:rsidRDefault="00A1504F" w:rsidP="00A1504F">
      <w:pPr>
        <w:spacing w:before="100" w:beforeAutospacing="1" w:after="100" w:afterAutospacing="1"/>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[DATE]</w:t>
      </w:r>
    </w:p>
    <w:p w14:paraId="53644C25" w14:textId="77777777" w:rsidR="00A1504F" w:rsidRPr="00A1504F" w:rsidRDefault="00A1504F" w:rsidP="00A1504F">
      <w:pPr>
        <w:spacing w:before="100" w:beforeAutospacing="1" w:after="100" w:afterAutospacing="1"/>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[BROKER NAME AND FIRM]</w:t>
      </w:r>
    </w:p>
    <w:p w14:paraId="49CA045A" w14:textId="77777777" w:rsidR="00A1504F" w:rsidRPr="00A1504F" w:rsidRDefault="00A1504F" w:rsidP="00A1504F">
      <w:pPr>
        <w:spacing w:before="100" w:beforeAutospacing="1" w:after="100" w:afterAutospacing="1"/>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Dear [NAME]</w:t>
      </w:r>
    </w:p>
    <w:p w14:paraId="6615D386" w14:textId="77777777" w:rsidR="00A1504F" w:rsidRPr="00A1504F" w:rsidRDefault="00A1504F" w:rsidP="00A1504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1504F">
        <w:rPr>
          <w:rFonts w:ascii="Times New Roman" w:eastAsia="Times New Roman" w:hAnsi="Times New Roman" w:cs="Times New Roman"/>
          <w:b/>
          <w:bCs/>
          <w:kern w:val="0"/>
          <w:sz w:val="36"/>
          <w:szCs w:val="36"/>
          <w:lang w:eastAsia="en-GB"/>
          <w14:ligatures w14:val="none"/>
        </w:rPr>
        <w:t>INSURANCE INSTRUCTION — MARHANA &amp; CO CONSULTING LTD</w:t>
      </w:r>
    </w:p>
    <w:p w14:paraId="6E60ABEB" w14:textId="77777777" w:rsidR="00A1504F" w:rsidRPr="00A1504F" w:rsidRDefault="00A1504F" w:rsidP="00A1504F">
      <w:pPr>
        <w:spacing w:before="100" w:beforeAutospacing="1" w:after="100" w:afterAutospacing="1"/>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We are instructing you to obtain terms for the covers set out below. We should be grateful for your advice on the adequacy of the limits proposed and on any cover we have not identified.</w:t>
      </w:r>
    </w:p>
    <w:p w14:paraId="0DB05A53" w14:textId="77777777" w:rsidR="00A1504F" w:rsidRPr="00A1504F" w:rsidRDefault="00A1504F" w:rsidP="00A1504F">
      <w:pPr>
        <w:spacing w:before="100" w:beforeAutospacing="1" w:after="100" w:afterAutospacing="1"/>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b/>
          <w:bCs/>
          <w:kern w:val="0"/>
          <w:lang w:eastAsia="en-GB"/>
          <w14:ligatures w14:val="none"/>
        </w:rPr>
        <w:t>1. The business.</w:t>
      </w:r>
      <w:r w:rsidRPr="00A1504F">
        <w:rPr>
          <w:rFonts w:ascii="Times New Roman" w:eastAsia="Times New Roman" w:hAnsi="Times New Roman" w:cs="Times New Roman"/>
          <w:kern w:val="0"/>
          <w:lang w:eastAsia="en-GB"/>
          <w14:ligatures w14:val="none"/>
        </w:rPr>
        <w:t xml:space="preserve"> Marhana &amp; Co Consulting Ltd is a newly incorporated public-sector bid and tender consultancy operating remotely from Greater London. SIC code 70229. Three directors, no employees. Delivery is supplemented by a vetted network of independent associates engaged under written contract. Capitalisation £30,000. Projected first-year turnover £25,000 to £40,000 (base case), £45,000 to £60,000 (upside).</w:t>
      </w:r>
    </w:p>
    <w:p w14:paraId="4185D0AF" w14:textId="77777777" w:rsidR="00A1504F" w:rsidRPr="00A1504F" w:rsidRDefault="00A1504F" w:rsidP="00A1504F">
      <w:pPr>
        <w:spacing w:before="100" w:beforeAutospacing="1" w:after="100" w:afterAutospacing="1"/>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b/>
          <w:bCs/>
          <w:kern w:val="0"/>
          <w:lang w:eastAsia="en-GB"/>
          <w14:ligatures w14:val="none"/>
        </w:rPr>
        <w:t>2. Services provided.</w:t>
      </w:r>
      <w:r w:rsidRPr="00A1504F">
        <w:rPr>
          <w:rFonts w:ascii="Times New Roman" w:eastAsia="Times New Roman" w:hAnsi="Times New Roman" w:cs="Times New Roman"/>
          <w:kern w:val="0"/>
          <w:lang w:eastAsia="en-GB"/>
          <w14:ligatures w14:val="none"/>
        </w:rPr>
        <w:t xml:space="preserve"> Bid Fit Score opportunity assessments; Bid Readiness Assessments; tender and PQQ writing; bid review and rewrite; social value statements; financial and costed business case authorship; accreditation support; Evidence Bank development; framework applications; consortium bid coordination; contract mobilisation; post-tender debrief analysis; social value delivery reporting. Individual engagement fees range from £150 to £2,500, with monthly retainers of £400 to £800.</w:t>
      </w:r>
    </w:p>
    <w:p w14:paraId="45A39BB2" w14:textId="77777777" w:rsidR="00A1504F" w:rsidRPr="00A1504F" w:rsidRDefault="00A1504F" w:rsidP="00A1504F">
      <w:pPr>
        <w:spacing w:before="100" w:beforeAutospacing="1" w:after="100" w:afterAutospacing="1"/>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b/>
          <w:bCs/>
          <w:kern w:val="0"/>
          <w:lang w:eastAsia="en-GB"/>
          <w14:ligatures w14:val="none"/>
        </w:rPr>
        <w:t>3. Services expressly not provided.</w:t>
      </w:r>
      <w:r w:rsidRPr="00A1504F">
        <w:rPr>
          <w:rFonts w:ascii="Times New Roman" w:eastAsia="Times New Roman" w:hAnsi="Times New Roman" w:cs="Times New Roman"/>
          <w:kern w:val="0"/>
          <w:lang w:eastAsia="en-GB"/>
          <w14:ligatures w14:val="none"/>
        </w:rPr>
        <w:t xml:space="preserve"> We do not submit tenders on client portals, do not calculate greenhouse gas emissions, do not verify client assertions, do not provide legal, financial, accountancy or regulated advice, and do not originate technical or clinical content. These exclusions are contractual and are set out at Section B.2 of the enclosed Terms of Engagement.</w:t>
      </w:r>
    </w:p>
    <w:p w14:paraId="3098D880" w14:textId="77777777" w:rsidR="00A1504F" w:rsidRPr="00A1504F" w:rsidRDefault="00A1504F" w:rsidP="00A1504F">
      <w:pPr>
        <w:spacing w:before="100" w:beforeAutospacing="1" w:after="100" w:afterAutospacing="1"/>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b/>
          <w:bCs/>
          <w:kern w:val="0"/>
          <w:lang w:eastAsia="en-GB"/>
          <w14:ligatures w14:val="none"/>
        </w:rPr>
        <w:t>4. Risk profile.</w:t>
      </w:r>
      <w:r w:rsidRPr="00A1504F">
        <w:rPr>
          <w:rFonts w:ascii="Times New Roman" w:eastAsia="Times New Roman" w:hAnsi="Times New Roman" w:cs="Times New Roman"/>
          <w:kern w:val="0"/>
          <w:lang w:eastAsia="en-GB"/>
          <w14:ligatures w14:val="none"/>
        </w:rPr>
        <w:t xml:space="preserve"> Our clients tender for public contracts. The loss a dissatisfied client would allege is the value of a lost contract, which may substantially exceed our fee. Our terms cap liability at the greater of £25,000 and 100% of fees, subject to your advice on whether that cap is consistent with the cover placed.</w:t>
      </w:r>
    </w:p>
    <w:p w14:paraId="72B6825C" w14:textId="77777777" w:rsidR="00A1504F" w:rsidRPr="00A1504F" w:rsidRDefault="00A1504F" w:rsidP="00A1504F">
      <w:pPr>
        <w:spacing w:before="100" w:beforeAutospacing="1" w:after="100" w:afterAutospacing="1"/>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b/>
          <w:bCs/>
          <w:kern w:val="0"/>
          <w:lang w:eastAsia="en-GB"/>
          <w14:ligatures w14:val="none"/>
        </w:rPr>
        <w:t>5. Data.</w:t>
      </w:r>
      <w:r w:rsidRPr="00A1504F">
        <w:rPr>
          <w:rFonts w:ascii="Times New Roman" w:eastAsia="Times New Roman" w:hAnsi="Times New Roman" w:cs="Times New Roman"/>
          <w:kern w:val="0"/>
          <w:lang w:eastAsia="en-GB"/>
          <w14:ligatures w14:val="none"/>
        </w:rPr>
        <w:t xml:space="preserve"> We process client personal data (personnel records, curricula vitae, referee details) as a processor under UK GDPR, and we handle contracting authority tender documentation under confidentiality restrictions. We use assistive technology in delivery under controls aligned to Procurement Policy Note 017. We are targeting Cyber Essentials certification in the first quarter.</w:t>
      </w:r>
    </w:p>
    <w:p w14:paraId="5EB3F7C9" w14:textId="77777777" w:rsidR="00A1504F" w:rsidRPr="00A1504F" w:rsidRDefault="00A1504F" w:rsidP="00A1504F">
      <w:pPr>
        <w:spacing w:before="100" w:beforeAutospacing="1" w:after="100" w:afterAutospacing="1"/>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b/>
          <w:bCs/>
          <w:kern w:val="0"/>
          <w:lang w:eastAsia="en-GB"/>
          <w14:ligatures w14:val="none"/>
        </w:rPr>
        <w:t>6. Cover requested.</w:t>
      </w:r>
    </w:p>
    <w:p w14:paraId="3935B74E" w14:textId="77777777" w:rsidR="00A1504F" w:rsidRPr="00A1504F" w:rsidRDefault="00A1504F" w:rsidP="00A1504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Professional indemnity: £1,000,000 each and every claim, with an alternative quotation at £2,000,000. Defence costs in addition to the limit if available. Retroactive date at commencement of trading.</w:t>
      </w:r>
    </w:p>
    <w:p w14:paraId="5CC60AA5" w14:textId="77777777" w:rsidR="00A1504F" w:rsidRPr="00A1504F" w:rsidRDefault="00A1504F" w:rsidP="00A1504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lastRenderedPageBreak/>
        <w:t>Cyber liability and data breach: £250,000, including incident response, forensics, notification, business interruption, ransomware and regulatory defence costs.</w:t>
      </w:r>
    </w:p>
    <w:p w14:paraId="34933794" w14:textId="77777777" w:rsidR="00A1504F" w:rsidRPr="00A1504F" w:rsidRDefault="00A1504F" w:rsidP="00A1504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Public liability: £2,000,000.</w:t>
      </w:r>
    </w:p>
    <w:p w14:paraId="0EC8083A" w14:textId="77777777" w:rsidR="00A1504F" w:rsidRPr="00A1504F" w:rsidRDefault="00A1504F" w:rsidP="00A1504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Directors' and officers' liability: please quote at £250,000 for our consideration.</w:t>
      </w:r>
    </w:p>
    <w:p w14:paraId="2AF05C48" w14:textId="77777777" w:rsidR="00A1504F" w:rsidRPr="00A1504F" w:rsidRDefault="00A1504F" w:rsidP="00A1504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Please advise whether legal expenses and contract dispute cover is worth taking at our scale.</w:t>
      </w:r>
    </w:p>
    <w:p w14:paraId="62110D5F" w14:textId="77777777" w:rsidR="00A1504F" w:rsidRPr="00A1504F" w:rsidRDefault="00A1504F" w:rsidP="00A1504F">
      <w:pPr>
        <w:spacing w:before="100" w:beforeAutospacing="1" w:after="100" w:afterAutospacing="1"/>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b/>
          <w:bCs/>
          <w:kern w:val="0"/>
          <w:lang w:eastAsia="en-GB"/>
          <w14:ligatures w14:val="none"/>
        </w:rPr>
        <w:t>7. Specific points on which we require confirmation in writing.</w:t>
      </w:r>
      <w:r w:rsidRPr="00A1504F">
        <w:rPr>
          <w:rFonts w:ascii="Times New Roman" w:eastAsia="Times New Roman" w:hAnsi="Times New Roman" w:cs="Times New Roman"/>
          <w:kern w:val="0"/>
          <w:lang w:eastAsia="en-GB"/>
          <w14:ligatures w14:val="none"/>
        </w:rPr>
        <w:t xml:space="preserve"> Please confirm expressly whether the professional indemnity policy responds to: (a) work performed by sub-contracted associates; (b) work in which artificial intelligence or assistive technology was used in preparation; (c) breach of confidentiality and misuse of third-party or contracting authority information; (d) unintentional intellectual property infringement; and (e) loss of documents or data. Please also confirm the position on run-off cover and its cost, the notification conditions precedent and the applicable period, and any exclusion relating to regulated activity, given that we plan to expand into mortgage advisory services in year two subject to FCA authorisation.</w:t>
      </w:r>
    </w:p>
    <w:p w14:paraId="433ADFD6" w14:textId="77777777" w:rsidR="00A1504F" w:rsidRPr="00A1504F" w:rsidRDefault="00A1504F" w:rsidP="00A1504F">
      <w:pPr>
        <w:spacing w:before="100" w:beforeAutospacing="1" w:after="100" w:afterAutospacing="1"/>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b/>
          <w:bCs/>
          <w:kern w:val="0"/>
          <w:lang w:eastAsia="en-GB"/>
          <w14:ligatures w14:val="none"/>
        </w:rPr>
        <w:t>8. Timing.</w:t>
      </w:r>
      <w:r w:rsidRPr="00A1504F">
        <w:rPr>
          <w:rFonts w:ascii="Times New Roman" w:eastAsia="Times New Roman" w:hAnsi="Times New Roman" w:cs="Times New Roman"/>
          <w:kern w:val="0"/>
          <w:lang w:eastAsia="en-GB"/>
          <w14:ligatures w14:val="none"/>
        </w:rPr>
        <w:t xml:space="preserve"> We cannot accept our first client engagement until professional indemnity cover is in force. Please advise on the earliest achievable inception date.</w:t>
      </w:r>
    </w:p>
    <w:p w14:paraId="44A9E4EA" w14:textId="77777777" w:rsidR="00A1504F" w:rsidRPr="00A1504F" w:rsidRDefault="00A1504F" w:rsidP="00A1504F">
      <w:pPr>
        <w:spacing w:before="100" w:beforeAutospacing="1" w:after="100" w:afterAutospacing="1"/>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Yours sincerely</w:t>
      </w:r>
    </w:p>
    <w:p w14:paraId="44BFCC7C" w14:textId="77777777" w:rsidR="00A1504F" w:rsidRPr="00A1504F" w:rsidRDefault="00A1504F" w:rsidP="00A1504F">
      <w:pPr>
        <w:spacing w:before="100" w:beforeAutospacing="1" w:after="100" w:afterAutospacing="1"/>
        <w:rPr>
          <w:rFonts w:ascii="Times New Roman" w:eastAsia="Times New Roman" w:hAnsi="Times New Roman" w:cs="Times New Roman"/>
          <w:kern w:val="0"/>
          <w:lang w:eastAsia="en-GB"/>
          <w14:ligatures w14:val="none"/>
        </w:rPr>
      </w:pPr>
      <w:r w:rsidRPr="00A1504F">
        <w:rPr>
          <w:rFonts w:ascii="Times New Roman" w:eastAsia="Times New Roman" w:hAnsi="Times New Roman" w:cs="Times New Roman"/>
          <w:kern w:val="0"/>
          <w:lang w:eastAsia="en-GB"/>
          <w14:ligatures w14:val="none"/>
        </w:rPr>
        <w:t xml:space="preserve">.............................................. For and on behalf of </w:t>
      </w:r>
      <w:r w:rsidRPr="00A1504F">
        <w:rPr>
          <w:rFonts w:ascii="Times New Roman" w:eastAsia="Times New Roman" w:hAnsi="Times New Roman" w:cs="Times New Roman"/>
          <w:b/>
          <w:bCs/>
          <w:kern w:val="0"/>
          <w:lang w:eastAsia="en-GB"/>
          <w14:ligatures w14:val="none"/>
        </w:rPr>
        <w:t>Marhana &amp; Co Consulting Ltd</w:t>
      </w:r>
    </w:p>
    <w:p w14:paraId="6D0FBC77" w14:textId="77777777" w:rsidR="006E783B" w:rsidRDefault="006E783B"/>
    <w:sectPr w:rsidR="006E78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0E516BD"/>
    <w:multiLevelType w:val="multilevel"/>
    <w:tmpl w:val="17E2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775925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04F"/>
    <w:rsid w:val="003E4C6F"/>
    <w:rsid w:val="006E783B"/>
    <w:rsid w:val="00A1504F"/>
    <w:rsid w:val="00E449FC"/>
    <w:rsid w:val="00EE1B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323867A"/>
  <w15:chartTrackingRefBased/>
  <w15:docId w15:val="{C1C3E105-491E-A149-9A91-1072DC168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0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50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50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50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50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504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04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04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04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0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50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50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50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50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50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0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0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04F"/>
    <w:rPr>
      <w:rFonts w:eastAsiaTheme="majorEastAsia" w:cstheme="majorBidi"/>
      <w:color w:val="272727" w:themeColor="text1" w:themeTint="D8"/>
    </w:rPr>
  </w:style>
  <w:style w:type="paragraph" w:styleId="Title">
    <w:name w:val="Title"/>
    <w:basedOn w:val="Normal"/>
    <w:next w:val="Normal"/>
    <w:link w:val="TitleChar"/>
    <w:uiPriority w:val="10"/>
    <w:qFormat/>
    <w:rsid w:val="00A1504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0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04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0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04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1504F"/>
    <w:rPr>
      <w:i/>
      <w:iCs/>
      <w:color w:val="404040" w:themeColor="text1" w:themeTint="BF"/>
    </w:rPr>
  </w:style>
  <w:style w:type="paragraph" w:styleId="ListParagraph">
    <w:name w:val="List Paragraph"/>
    <w:basedOn w:val="Normal"/>
    <w:uiPriority w:val="34"/>
    <w:qFormat/>
    <w:rsid w:val="00A1504F"/>
    <w:pPr>
      <w:ind w:left="720"/>
      <w:contextualSpacing/>
    </w:pPr>
  </w:style>
  <w:style w:type="character" w:styleId="IntenseEmphasis">
    <w:name w:val="Intense Emphasis"/>
    <w:basedOn w:val="DefaultParagraphFont"/>
    <w:uiPriority w:val="21"/>
    <w:qFormat/>
    <w:rsid w:val="00A1504F"/>
    <w:rPr>
      <w:i/>
      <w:iCs/>
      <w:color w:val="0F4761" w:themeColor="accent1" w:themeShade="BF"/>
    </w:rPr>
  </w:style>
  <w:style w:type="paragraph" w:styleId="IntenseQuote">
    <w:name w:val="Intense Quote"/>
    <w:basedOn w:val="Normal"/>
    <w:next w:val="Normal"/>
    <w:link w:val="IntenseQuoteChar"/>
    <w:uiPriority w:val="30"/>
    <w:qFormat/>
    <w:rsid w:val="00A150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504F"/>
    <w:rPr>
      <w:i/>
      <w:iCs/>
      <w:color w:val="0F4761" w:themeColor="accent1" w:themeShade="BF"/>
    </w:rPr>
  </w:style>
  <w:style w:type="character" w:styleId="IntenseReference">
    <w:name w:val="Intense Reference"/>
    <w:basedOn w:val="DefaultParagraphFont"/>
    <w:uiPriority w:val="32"/>
    <w:qFormat/>
    <w:rsid w:val="00A1504F"/>
    <w:rPr>
      <w:b/>
      <w:bCs/>
      <w:smallCaps/>
      <w:color w:val="0F4761" w:themeColor="accent1" w:themeShade="BF"/>
      <w:spacing w:val="5"/>
    </w:rPr>
  </w:style>
  <w:style w:type="paragraph" w:styleId="NormalWeb">
    <w:name w:val="Normal (Web)"/>
    <w:basedOn w:val="Normal"/>
    <w:uiPriority w:val="99"/>
    <w:semiHidden/>
    <w:unhideWhenUsed/>
    <w:rsid w:val="00A1504F"/>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A1504F"/>
    <w:rPr>
      <w:b/>
      <w:bCs/>
    </w:rPr>
  </w:style>
  <w:style w:type="character" w:styleId="Emphasis">
    <w:name w:val="Emphasis"/>
    <w:basedOn w:val="DefaultParagraphFont"/>
    <w:uiPriority w:val="20"/>
    <w:qFormat/>
    <w:rsid w:val="00A1504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1924</Words>
  <Characters>10969</Characters>
  <Application>Microsoft Office Word</Application>
  <DocSecurity>0</DocSecurity>
  <Lines>91</Lines>
  <Paragraphs>25</Paragraphs>
  <ScaleCrop>false</ScaleCrop>
  <Company/>
  <LinksUpToDate>false</LinksUpToDate>
  <CharactersWithSpaces>12868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Bashir Khalid (Law)</dc:creator>
  <cp:keywords/>
  <dc:description/>
  <cp:lastModifiedBy>Aman Bashir Khalid (Law)</cp:lastModifiedBy>
  <cp:revision>1</cp:revision>
  <dcterms:created xsi:type="dcterms:W3CDTF">2026-09-10T22:37:00Z</dcterms:created>
  <dcterms:modified xsi:type="dcterms:W3CDTF">2026-09-10T22:47:00Z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EB58CF7F-9994-4894-AC5B-936FF8883E6F</vt:lpwstr>
  </property>
</Properties>
</file>