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2"/>
          <w:szCs w:val="32"/>
        </w:rPr>
        <w:t xml:space="preserve">DATA PROCESSING AGREEMENT</w:t>
      </w:r>
    </w:p>
    <w:p>
      <w:pPr>
        <w:spacing w:after="80"/>
        <w:jc w:val="center"/>
      </w:pPr>
      <w:r>
        <w:rPr>
          <w:rFonts w:ascii="Times New Roman" w:cs="Times New Roman" w:eastAsia="Times New Roman" w:hAnsi="Times New Roman"/>
          <w:i/>
          <w:iCs/>
          <w:sz w:val="20"/>
          <w:szCs w:val="20"/>
        </w:rPr>
        <w:t xml:space="preserve">(Article 28 UK GDPR)</w:t>
      </w:r>
    </w:p>
    <w:p>
      <w:pPr>
        <w:spacing w:after="360"/>
        <w:jc w:val="center"/>
      </w:pPr>
      <w:r>
        <w:rPr>
          <w:rFonts w:ascii="Times New Roman" w:cs="Times New Roman" w:eastAsia="Times New Roman" w:hAnsi="Times New Roman"/>
          <w:i/>
          <w:iCs/>
          <w:sz w:val="20"/>
          <w:szCs w:val="20"/>
        </w:rPr>
        <w:t xml:space="preserve">between Marhana &amp; Co Consulting Ltd and the Client</w:t>
      </w:r>
    </w:p>
    <w:p>
      <w:pPr>
        <w:spacing w:after="200"/>
      </w:pPr>
      <w:r>
        <w:rPr>
          <w:sz w:val="22"/>
          <w:szCs w:val="22"/>
        </w:rPr>
        <w:t xml:space="preserve">This Data Processing Agreement ("</w:t>
      </w:r>
      <w:r>
        <w:rPr>
          <w:b/>
          <w:bCs/>
          <w:sz w:val="22"/>
          <w:szCs w:val="22"/>
        </w:rPr>
        <w:t xml:space="preserve">DPA</w:t>
      </w:r>
      <w:r>
        <w:rPr>
          <w:sz w:val="22"/>
          <w:szCs w:val="22"/>
        </w:rPr>
        <w:t xml:space="preserve">") forms part of, and is incorporated into, the Terms of Engagement between Marhana &amp; Co Consulting Ltd (the "</w:t>
      </w:r>
      <w:r>
        <w:rPr>
          <w:b/>
          <w:bCs/>
          <w:sz w:val="22"/>
          <w:szCs w:val="22"/>
        </w:rPr>
        <w:t xml:space="preserve">Processor</w:t>
      </w:r>
      <w:r>
        <w:rPr>
          <w:sz w:val="22"/>
          <w:szCs w:val="22"/>
        </w:rPr>
        <w:t xml:space="preserve">") and the Client named in the Engagement Particulars (the "</w:t>
      </w:r>
      <w:r>
        <w:rPr>
          <w:b/>
          <w:bCs/>
          <w:sz w:val="22"/>
          <w:szCs w:val="22"/>
        </w:rPr>
        <w:t xml:space="preserve">Controller</w:t>
      </w:r>
      <w:r>
        <w:rPr>
          <w:sz w:val="22"/>
          <w:szCs w:val="22"/>
        </w:rPr>
        <w:t xml:space="preserve">"). It applies whenever the Processor processes Personal Data on behalf of the Controller in the course of providing the Services.</w:t>
      </w:r>
    </w:p>
    <w:p>
      <w:pPr>
        <w:spacing w:after="160" w:before="280"/>
      </w:pPr>
      <w:r>
        <w:rPr>
          <w:b/>
          <w:bCs/>
          <w:sz w:val="24"/>
          <w:szCs w:val="24"/>
        </w:rPr>
        <w:t xml:space="preserve">1. DEFINITIONS</w:t>
      </w:r>
    </w:p>
    <w:p>
      <w:pPr>
        <w:spacing w:after="120"/>
      </w:pPr>
      <w:r>
        <w:rPr>
          <w:sz w:val="22"/>
          <w:szCs w:val="22"/>
        </w:rPr>
        <w:t xml:space="preserve">1.1  In this DPA, the terms "</w:t>
      </w:r>
      <w:r>
        <w:rPr>
          <w:b/>
          <w:bCs/>
          <w:sz w:val="22"/>
          <w:szCs w:val="22"/>
        </w:rPr>
        <w:t xml:space="preserve">controller</w:t>
      </w:r>
      <w:r>
        <w:rPr>
          <w:sz w:val="22"/>
          <w:szCs w:val="22"/>
        </w:rPr>
        <w:t xml:space="preserve">", "</w:t>
      </w:r>
      <w:r>
        <w:rPr>
          <w:b/>
          <w:bCs/>
          <w:sz w:val="22"/>
          <w:szCs w:val="22"/>
        </w:rPr>
        <w:t xml:space="preserve">processor</w:t>
      </w:r>
      <w:r>
        <w:rPr>
          <w:sz w:val="22"/>
          <w:szCs w:val="22"/>
        </w:rPr>
        <w:t xml:space="preserve">", "</w:t>
      </w:r>
      <w:r>
        <w:rPr>
          <w:b/>
          <w:bCs/>
          <w:sz w:val="22"/>
          <w:szCs w:val="22"/>
        </w:rPr>
        <w:t xml:space="preserve">data subject</w:t>
      </w:r>
      <w:r>
        <w:rPr>
          <w:sz w:val="22"/>
          <w:szCs w:val="22"/>
        </w:rPr>
        <w:t xml:space="preserve">", "</w:t>
      </w:r>
      <w:r>
        <w:rPr>
          <w:b/>
          <w:bCs/>
          <w:sz w:val="22"/>
          <w:szCs w:val="22"/>
        </w:rPr>
        <w:t xml:space="preserve">personal data</w:t>
      </w:r>
      <w:r>
        <w:rPr>
          <w:sz w:val="22"/>
          <w:szCs w:val="22"/>
        </w:rPr>
        <w:t xml:space="preserve">", "</w:t>
      </w:r>
      <w:r>
        <w:rPr>
          <w:b/>
          <w:bCs/>
          <w:sz w:val="22"/>
          <w:szCs w:val="22"/>
        </w:rPr>
        <w:t xml:space="preserve">processing</w:t>
      </w:r>
      <w:r>
        <w:rPr>
          <w:sz w:val="22"/>
          <w:szCs w:val="22"/>
        </w:rPr>
        <w:t xml:space="preserve">", "</w:t>
      </w:r>
      <w:r>
        <w:rPr>
          <w:b/>
          <w:bCs/>
          <w:sz w:val="22"/>
          <w:szCs w:val="22"/>
        </w:rPr>
        <w:t xml:space="preserve">personal data breach</w:t>
      </w:r>
      <w:r>
        <w:rPr>
          <w:sz w:val="22"/>
          <w:szCs w:val="22"/>
        </w:rPr>
        <w:t xml:space="preserve">" and "</w:t>
      </w:r>
      <w:r>
        <w:rPr>
          <w:b/>
          <w:bCs/>
          <w:sz w:val="22"/>
          <w:szCs w:val="22"/>
        </w:rPr>
        <w:t xml:space="preserve">supervisory authority</w:t>
      </w:r>
      <w:r>
        <w:rPr>
          <w:sz w:val="22"/>
          <w:szCs w:val="22"/>
        </w:rPr>
        <w:t xml:space="preserve">" have the meanings given to them in the UK General Data Protection Regulation ("</w:t>
      </w:r>
      <w:r>
        <w:rPr>
          <w:b/>
          <w:bCs/>
          <w:sz w:val="22"/>
          <w:szCs w:val="22"/>
        </w:rPr>
        <w:t xml:space="preserve">UK GDPR</w:t>
      </w:r>
      <w:r>
        <w:rPr>
          <w:sz w:val="22"/>
          <w:szCs w:val="22"/>
        </w:rPr>
        <w:t xml:space="preserve">") and the Data Protection Act 2018.</w:t>
      </w:r>
    </w:p>
    <w:p>
      <w:pPr>
        <w:spacing w:after="200"/>
      </w:pPr>
      <w:r>
        <w:rPr>
          <w:sz w:val="22"/>
          <w:szCs w:val="22"/>
        </w:rPr>
        <w:t xml:space="preserve">1.2  "</w:t>
      </w:r>
      <w:r>
        <w:rPr>
          <w:b/>
          <w:bCs/>
          <w:sz w:val="22"/>
          <w:szCs w:val="22"/>
        </w:rPr>
        <w:t xml:space="preserve">Services</w:t>
      </w:r>
      <w:r>
        <w:rPr>
          <w:sz w:val="22"/>
          <w:szCs w:val="22"/>
        </w:rPr>
        <w:t xml:space="preserve">" means the bid and tender support services described in the Terms of Engagement and any associated Engagement Particulars.</w:t>
      </w:r>
    </w:p>
    <w:p>
      <w:pPr>
        <w:spacing w:after="160" w:before="280"/>
      </w:pPr>
      <w:r>
        <w:rPr>
          <w:b/>
          <w:bCs/>
          <w:sz w:val="24"/>
          <w:szCs w:val="24"/>
        </w:rPr>
        <w:t xml:space="preserve">2. SCOPE OF PROCESSING</w:t>
      </w:r>
    </w:p>
    <w:p>
      <w:pPr>
        <w:spacing w:after="120"/>
      </w:pPr>
      <w:r>
        <w:rPr>
          <w:sz w:val="22"/>
          <w:szCs w:val="22"/>
        </w:rPr>
        <w:t xml:space="preserve">2.1  The Controller appoints the Processor to process Personal Data for the purpose of delivering the Services, including (without limitation) the preparation of tender submissions, evidence banks, social value statements, and related documentation.</w:t>
      </w:r>
    </w:p>
    <w:p>
      <w:pPr>
        <w:spacing w:after="120"/>
      </w:pPr>
      <w:r>
        <w:rPr>
          <w:sz w:val="22"/>
          <w:szCs w:val="22"/>
        </w:rPr>
        <w:t xml:space="preserve">2.2  The categories of data subjects and types of Personal Data typically processed are set out in the Schedule to this DPA. The Controller shall ensure that any Personal Data provided to the Processor is limited to what is necessary for the Services.</w:t>
      </w:r>
    </w:p>
    <w:p>
      <w:pPr>
        <w:spacing w:after="200"/>
      </w:pPr>
      <w:r>
        <w:rPr>
          <w:sz w:val="22"/>
          <w:szCs w:val="22"/>
        </w:rPr>
        <w:t xml:space="preserve">2.3  The duration of processing shall be the period of the relevant Engagement plus any retention period required by the Terms of Engagement or by law, after which the Processor shall delete or return the Personal Data in accordance with clause 8.</w:t>
      </w:r>
    </w:p>
    <w:p>
      <w:pPr>
        <w:spacing w:after="160" w:before="280"/>
      </w:pPr>
      <w:r>
        <w:rPr>
          <w:b/>
          <w:bCs/>
          <w:sz w:val="24"/>
          <w:szCs w:val="24"/>
        </w:rPr>
        <w:t xml:space="preserve">3. OBLIGATIONS OF THE PROCESSOR</w:t>
      </w:r>
    </w:p>
    <w:p>
      <w:pPr>
        <w:spacing w:after="120"/>
      </w:pPr>
      <w:r>
        <w:rPr>
          <w:sz w:val="22"/>
          <w:szCs w:val="22"/>
        </w:rPr>
        <w:t xml:space="preserve">3.1  The Processor shall:</w:t>
      </w:r>
    </w:p>
    <w:p>
      <w:pPr>
        <w:spacing w:after="80"/>
        <w:ind w:left="360"/>
      </w:pPr>
      <w:r>
        <w:rPr>
          <w:sz w:val="22"/>
          <w:szCs w:val="22"/>
        </w:rPr>
        <w:t xml:space="preserve">(a)  process Personal Data only on documented instructions from the Controller, including with regard to transfers of Personal Data to a third country, unless required to do so by UK law (in which case the Processor shall inform the Controller of that legal requirement before processing, unless the law prohibits such information on important grounds of public interest);</w:t>
      </w:r>
    </w:p>
    <w:p>
      <w:pPr>
        <w:spacing w:after="80"/>
        <w:ind w:left="360"/>
      </w:pPr>
      <w:r>
        <w:rPr>
          <w:sz w:val="22"/>
          <w:szCs w:val="22"/>
        </w:rPr>
        <w:t xml:space="preserve">(b)  ensure that persons authorised to process the Personal Data have committed themselves to confidentiality or are under an appropriate statutory obligation of confidentiality;</w:t>
      </w:r>
    </w:p>
    <w:p>
      <w:pPr>
        <w:spacing w:after="80"/>
        <w:ind w:left="360"/>
      </w:pPr>
      <w:r>
        <w:rPr>
          <w:sz w:val="22"/>
          <w:szCs w:val="22"/>
        </w:rPr>
        <w:t xml:space="preserve">(c)  take all measures required pursuant to Article 32 UK GDPR (security of processing);</w:t>
      </w:r>
    </w:p>
    <w:p>
      <w:pPr>
        <w:spacing w:after="80"/>
        <w:ind w:left="360"/>
      </w:pPr>
      <w:r>
        <w:rPr>
          <w:sz w:val="22"/>
          <w:szCs w:val="22"/>
        </w:rPr>
        <w:t xml:space="preserve">(d)  respect the conditions referred to in clauses 4 and 5 for engaging another processor;</w:t>
      </w:r>
    </w:p>
    <w:p>
      <w:pPr>
        <w:spacing w:after="80"/>
        <w:ind w:left="360"/>
      </w:pPr>
      <w:r>
        <w:rPr>
          <w:sz w:val="22"/>
          <w:szCs w:val="22"/>
        </w:rPr>
        <w:t xml:space="preserve">(e)  taking into account the nature of the processing, assist the Controller by appropriate technical and organisational measures, insofar as this is possible, for the fulfilment of the Controller’s obligation to respond to requests for exercising the data subject’s rights under Chapter III UK GDPR;</w:t>
      </w:r>
    </w:p>
    <w:p>
      <w:pPr>
        <w:spacing w:after="80"/>
        <w:ind w:left="360"/>
      </w:pPr>
      <w:r>
        <w:rPr>
          <w:sz w:val="22"/>
          <w:szCs w:val="22"/>
        </w:rPr>
        <w:t xml:space="preserve">(f)  assist the Controller in ensuring compliance with the obligations pursuant to Articles 32 to 36 UK GDPR, taking into account the nature of processing and the information available to the Processor;</w:t>
      </w:r>
    </w:p>
    <w:p>
      <w:pPr>
        <w:spacing w:after="80"/>
        <w:ind w:left="360"/>
      </w:pPr>
      <w:r>
        <w:rPr>
          <w:sz w:val="22"/>
          <w:szCs w:val="22"/>
        </w:rPr>
        <w:t xml:space="preserve">(g)  at the choice of the Controller, delete or return all the Personal Data to the Controller after the end of the provision of Services relating to processing, and delete existing copies unless UK law requires storage of the Personal Data; and</w:t>
      </w:r>
    </w:p>
    <w:p>
      <w:pPr>
        <w:spacing w:after="200"/>
        <w:ind w:left="360"/>
      </w:pPr>
      <w:r>
        <w:rPr>
          <w:sz w:val="22"/>
          <w:szCs w:val="22"/>
        </w:rPr>
        <w:t xml:space="preserve">(h)  make available to the Controller all information necessary to demonstrate compliance with the obligations laid down in Article 28 UK GDPR and allow for and contribute to audits, including inspections, conducted by the Controller or another auditor mandated by the Controller.</w:t>
      </w:r>
    </w:p>
    <w:p>
      <w:pPr>
        <w:spacing w:after="160" w:before="280"/>
      </w:pPr>
      <w:r>
        <w:rPr>
          <w:b/>
          <w:bCs/>
          <w:sz w:val="24"/>
          <w:szCs w:val="24"/>
        </w:rPr>
        <w:t xml:space="preserve">4. SUB-PROCESSORS</w:t>
      </w:r>
    </w:p>
    <w:p>
      <w:pPr>
        <w:spacing w:after="120"/>
      </w:pPr>
      <w:r>
        <w:rPr>
          <w:sz w:val="22"/>
          <w:szCs w:val="22"/>
        </w:rPr>
        <w:t xml:space="preserve">4.1  The Controller provides a general authorisation for the Processor to engage sub-processors for the purposes of delivering the Services, subject to the Processor imposing on any such sub-processor data protection obligations equivalent to those set out in this DPA.</w:t>
      </w:r>
    </w:p>
    <w:p>
      <w:pPr>
        <w:spacing w:after="120"/>
      </w:pPr>
      <w:r>
        <w:rPr>
          <w:sz w:val="22"/>
          <w:szCs w:val="22"/>
        </w:rPr>
        <w:t xml:space="preserve">4.2  The Processor shall inform the Controller of any intended changes concerning the addition or replacement of sub-processors, thereby giving the Controller the opportunity to object to such changes on reasonable grounds related to data protection.</w:t>
      </w:r>
    </w:p>
    <w:p>
      <w:pPr>
        <w:spacing w:after="200"/>
      </w:pPr>
      <w:r>
        <w:rPr>
          <w:sz w:val="22"/>
          <w:szCs w:val="22"/>
        </w:rPr>
        <w:t xml:space="preserve">4.3  Where the Processor engages an associate or freelance writer under the Associate Agreement, that associate shall be treated as a sub-processor and the Associate Data Protection Schedule shall apply.</w:t>
      </w:r>
    </w:p>
    <w:p>
      <w:pPr>
        <w:spacing w:after="160" w:before="280"/>
      </w:pPr>
      <w:r>
        <w:rPr>
          <w:b/>
          <w:bCs/>
          <w:sz w:val="24"/>
          <w:szCs w:val="24"/>
        </w:rPr>
        <w:t xml:space="preserve">5. INTERNATIONAL TRANSFERS</w:t>
      </w:r>
    </w:p>
    <w:p>
      <w:pPr>
        <w:spacing w:after="200"/>
      </w:pPr>
      <w:r>
        <w:rPr>
          <w:sz w:val="22"/>
          <w:szCs w:val="22"/>
        </w:rPr>
        <w:t xml:space="preserve">5.1  The Processor shall not transfer Personal Data outside the United Kingdom unless (a) the transfer is to a country in respect of which the UK has made an adequacy regulation, or (b) appropriate safeguards are in place in accordance with Article 46 UK GDPR (including the UK International Data Transfer Agreement or Addendum), or (c) a derogation under Article 49 UK GDPR applies.</w:t>
      </w:r>
    </w:p>
    <w:p>
      <w:pPr>
        <w:spacing w:after="160" w:before="280"/>
      </w:pPr>
      <w:r>
        <w:rPr>
          <w:b/>
          <w:bCs/>
          <w:sz w:val="24"/>
          <w:szCs w:val="24"/>
        </w:rPr>
        <w:t xml:space="preserve">6. SECURITY MEASURES</w:t>
      </w:r>
    </w:p>
    <w:p>
      <w:pPr>
        <w:spacing w:after="120"/>
      </w:pPr>
      <w:r>
        <w:rPr>
          <w:sz w:val="22"/>
          <w:szCs w:val="22"/>
        </w:rPr>
        <w:t xml:space="preserve">6.1  The Processor shall implement appropriate technical and organisational measures to ensure a level of security appropriate to the risk, including as appropriate:</w:t>
      </w:r>
    </w:p>
    <w:p>
      <w:pPr>
        <w:spacing w:after="80"/>
        <w:ind w:left="360"/>
      </w:pPr>
      <w:r>
        <w:rPr>
          <w:sz w:val="22"/>
          <w:szCs w:val="22"/>
        </w:rPr>
        <w:t xml:space="preserve">(a)  the pseudonymisation and encryption of Personal Data;</w:t>
      </w:r>
    </w:p>
    <w:p>
      <w:pPr>
        <w:spacing w:after="80"/>
        <w:ind w:left="360"/>
      </w:pPr>
      <w:r>
        <w:rPr>
          <w:sz w:val="22"/>
          <w:szCs w:val="22"/>
        </w:rPr>
        <w:t xml:space="preserve">(b)  the ability to ensure the ongoing confidentiality, integrity, availability and resilience of processing systems and services;</w:t>
      </w:r>
    </w:p>
    <w:p>
      <w:pPr>
        <w:spacing w:after="80"/>
        <w:ind w:left="360"/>
      </w:pPr>
      <w:r>
        <w:rPr>
          <w:sz w:val="22"/>
          <w:szCs w:val="22"/>
        </w:rPr>
        <w:t xml:space="preserve">(c)  the ability to restore the availability and access to Personal Data in a timely manner in the event of a physical or technical incident; and</w:t>
      </w:r>
    </w:p>
    <w:p>
      <w:pPr>
        <w:spacing w:after="200"/>
        <w:ind w:left="360"/>
      </w:pPr>
      <w:r>
        <w:rPr>
          <w:sz w:val="22"/>
          <w:szCs w:val="22"/>
        </w:rPr>
        <w:t xml:space="preserve">(d)  a process for regularly testing, assessing and evaluating the effectiveness of technical and organisational measures for ensuring the security of the processing.</w:t>
      </w:r>
    </w:p>
    <w:p>
      <w:pPr>
        <w:spacing w:after="160" w:before="280"/>
      </w:pPr>
      <w:r>
        <w:rPr>
          <w:b/>
          <w:bCs/>
          <w:sz w:val="24"/>
          <w:szCs w:val="24"/>
        </w:rPr>
        <w:t xml:space="preserve">7. PERSONAL DATA BREACH</w:t>
      </w:r>
    </w:p>
    <w:p>
      <w:pPr>
        <w:spacing w:after="200"/>
      </w:pPr>
      <w:r>
        <w:rPr>
          <w:sz w:val="22"/>
          <w:szCs w:val="22"/>
        </w:rPr>
        <w:t xml:space="preserve">7.1  The Processor shall notify the Controller without undue delay after becoming aware of a personal data breach, and shall provide the Controller with sufficient information to allow the Controller to meet any obligations to report or inform data subjects of the breach under the UK GDPR.</w:t>
      </w:r>
    </w:p>
    <w:p>
      <w:pPr>
        <w:spacing w:after="160" w:before="280"/>
      </w:pPr>
      <w:r>
        <w:rPr>
          <w:b/>
          <w:bCs/>
          <w:sz w:val="24"/>
          <w:szCs w:val="24"/>
        </w:rPr>
        <w:t xml:space="preserve">8. DELETION OR RETURN OF DATA</w:t>
      </w:r>
    </w:p>
    <w:p>
      <w:pPr>
        <w:spacing w:after="200"/>
      </w:pPr>
      <w:r>
        <w:rPr>
          <w:sz w:val="22"/>
          <w:szCs w:val="22"/>
        </w:rPr>
        <w:t xml:space="preserve">8.1  Upon termination of the relevant Engagement (or earlier upon the Controller’s written request), the Processor shall, at the Controller’s option, securely delete or return all Personal Data processed under this DPA, and delete existing copies, unless UK law requires storage of the Personal Data. The Processor shall confirm deletion in writing upon request.</w:t>
      </w:r>
    </w:p>
    <w:p>
      <w:pPr>
        <w:spacing w:after="160" w:before="280"/>
      </w:pPr>
      <w:r>
        <w:rPr>
          <w:b/>
          <w:bCs/>
          <w:sz w:val="24"/>
          <w:szCs w:val="24"/>
        </w:rPr>
        <w:t xml:space="preserve">9. LIABILITY</w:t>
      </w:r>
    </w:p>
    <w:p>
      <w:pPr>
        <w:spacing w:after="200"/>
      </w:pPr>
      <w:r>
        <w:rPr>
          <w:sz w:val="22"/>
          <w:szCs w:val="22"/>
        </w:rPr>
        <w:t xml:space="preserve">9.1  Each party’s liability under this DPA is subject to the limitations and exclusions of liability set out in the Terms of Engagement, save that nothing in this DPA or the Terms of Engagement shall exclude or limit liability for a party’s fraud or for death or personal injury caused by its negligence, or any other liability that cannot be excluded or limited by English law.</w:t>
      </w:r>
    </w:p>
    <w:p>
      <w:pPr>
        <w:spacing w:after="200" w:before="400"/>
      </w:pPr>
      <w:r>
        <w:rPr>
          <w:b/>
          <w:bCs/>
          <w:sz w:val="24"/>
          <w:szCs w:val="24"/>
        </w:rPr>
        <w:t xml:space="preserve">SCHEDULE TO THE DATA PROCESSING AGREEMENT</w:t>
      </w:r>
    </w:p>
    <w:p>
      <w:pPr>
        <w:spacing w:after="120"/>
      </w:pPr>
      <w:r>
        <w:rPr>
          <w:b/>
          <w:bCs/>
          <w:sz w:val="22"/>
          <w:szCs w:val="22"/>
        </w:rPr>
        <w:t xml:space="preserve">Description of Processing</w:t>
      </w:r>
    </w:p>
    <w:p>
      <w:pPr>
        <w:spacing w:after="80"/>
      </w:pPr>
      <w:r>
        <w:rPr>
          <w:sz w:val="22"/>
          <w:szCs w:val="22"/>
        </w:rPr>
        <w:t xml:space="preserve">Subject matter and duration: Processing of Personal Data in the course of providing bid and tender support services, for the duration of each Engagement plus any statutory or contractual retention period.</w:t>
      </w:r>
    </w:p>
    <w:p>
      <w:pPr>
        <w:spacing w:after="80"/>
      </w:pPr>
      <w:r>
        <w:rPr>
          <w:sz w:val="22"/>
          <w:szCs w:val="22"/>
        </w:rPr>
        <w:t xml:space="preserve">Nature and purpose: Preparation of tender submissions, evidence banks, social value statements, case studies, and related documentation; quality assurance; and post-award reporting.</w:t>
      </w:r>
    </w:p>
    <w:p>
      <w:pPr>
        <w:spacing w:after="80"/>
      </w:pPr>
      <w:r>
        <w:rPr>
          <w:sz w:val="22"/>
          <w:szCs w:val="22"/>
        </w:rPr>
        <w:t xml:space="preserve">Categories of data subjects: Employees, directors, freelancers and other individuals whose details are included in client submissions (e.g. CVs, case studies, key personnel).</w:t>
      </w:r>
    </w:p>
    <w:p>
      <w:pPr>
        <w:spacing w:after="80"/>
      </w:pPr>
      <w:r>
        <w:rPr>
          <w:sz w:val="22"/>
          <w:szCs w:val="22"/>
        </w:rPr>
        <w:t xml:space="preserve">Types of Personal Data: Names, job titles, professional qualifications, employment history, contact details, photographs (where included in CVs), and any other personal data contained in materials supplied by the Controller for inclusion in submissions.</w:t>
      </w:r>
    </w:p>
    <w:p>
      <w:pPr>
        <w:spacing w:after="200"/>
      </w:pPr>
      <w:r>
        <w:rPr>
          <w:sz w:val="22"/>
          <w:szCs w:val="22"/>
        </w:rPr>
        <w:t xml:space="preserve">Special categories of data: Not routinely processed. If any special category data is required, the Controller shall notify the Processor in advance and ensure an appropriate lawful basis exists.</w:t>
      </w:r>
    </w:p>
    <w:p>
      <w:pPr>
        <w:spacing w:after="200" w:before="400"/>
      </w:pPr>
      <w:r>
        <w:rPr>
          <w:sz w:val="22"/>
          <w:szCs w:val="22"/>
        </w:rPr>
        <w:t xml:space="preserve">IN WITNESS whereof the parties have executed this Data Processing Agreement on the date of the Engagement Particulars to which it is attached.</w:t>
      </w:r>
    </w:p>
    <w:p>
      <w:pPr>
        <w:spacing w:after="80" w:before="300"/>
      </w:pPr>
      <w:r>
        <w:rPr>
          <w:i/>
          <w:iCs/>
          <w:sz w:val="20"/>
          <w:szCs w:val="20"/>
        </w:rPr>
        <w:t xml:space="preserve">Signed for and on behalf of the Processor</w:t>
      </w:r>
    </w:p>
    <w:p>
      <w:pPr>
        <w:spacing w:after="40"/>
      </w:pPr>
      <w:r>
        <w:rPr>
          <w:b/>
          <w:bCs/>
          <w:sz w:val="22"/>
          <w:szCs w:val="22"/>
        </w:rPr>
        <w:t xml:space="preserve">MARHANA &amp; CO CONSULTING LTD</w:t>
      </w:r>
    </w:p>
    <w:p>
      <w:pPr>
        <w:spacing w:after="40" w:before="200"/>
      </w:pPr>
      <w:r>
        <w:rPr>
          <w:sz w:val="22"/>
          <w:szCs w:val="22"/>
        </w:rPr>
        <w:t xml:space="preserve">Signature: _______________________________</w:t>
      </w:r>
    </w:p>
    <w:p>
      <w:pPr>
        <w:spacing w:after="40"/>
      </w:pPr>
      <w:r>
        <w:rPr>
          <w:sz w:val="22"/>
          <w:szCs w:val="22"/>
        </w:rPr>
        <w:t xml:space="preserve">Name: ___________________________________</w:t>
      </w:r>
    </w:p>
    <w:p>
      <w:pPr>
        <w:spacing w:after="40"/>
      </w:pPr>
      <w:r>
        <w:rPr>
          <w:sz w:val="22"/>
          <w:szCs w:val="22"/>
        </w:rPr>
        <w:t xml:space="preserve">Position: ________________________________</w:t>
      </w:r>
    </w:p>
    <w:p>
      <w:pPr>
        <w:spacing w:after="200"/>
      </w:pPr>
      <w:r>
        <w:rPr>
          <w:sz w:val="22"/>
          <w:szCs w:val="22"/>
        </w:rPr>
        <w:t xml:space="preserve">Date: ____________________________________</w:t>
      </w:r>
    </w:p>
    <w:p>
      <w:pPr>
        <w:spacing w:after="80" w:before="300"/>
      </w:pPr>
      <w:r>
        <w:rPr>
          <w:i/>
          <w:iCs/>
          <w:sz w:val="20"/>
          <w:szCs w:val="20"/>
        </w:rPr>
        <w:t xml:space="preserve">Signed for and on behalf of the Controller</w:t>
      </w:r>
    </w:p>
    <w:p>
      <w:pPr>
        <w:spacing w:after="40"/>
      </w:pPr>
      <w:r>
        <w:rPr>
          <w:b/>
          <w:bCs/>
          <w:sz w:val="22"/>
          <w:szCs w:val="22"/>
        </w:rPr>
        <w:t xml:space="preserve">THE CLIENT</w:t>
      </w:r>
    </w:p>
    <w:p>
      <w:pPr>
        <w:spacing w:after="40" w:before="200"/>
      </w:pPr>
      <w:r>
        <w:rPr>
          <w:sz w:val="22"/>
          <w:szCs w:val="22"/>
        </w:rPr>
        <w:t xml:space="preserve">Signature: _______________________________</w:t>
      </w:r>
    </w:p>
    <w:p>
      <w:pPr>
        <w:spacing w:after="40"/>
      </w:pPr>
      <w:r>
        <w:rPr>
          <w:sz w:val="22"/>
          <w:szCs w:val="22"/>
        </w:rPr>
        <w:t xml:space="preserve">Name: ___________________________________</w:t>
      </w:r>
    </w:p>
    <w:p>
      <w:pPr>
        <w:spacing w:after="40"/>
      </w:pPr>
      <w:r>
        <w:rPr>
          <w:sz w:val="22"/>
          <w:szCs w:val="22"/>
        </w:rPr>
        <w:t xml:space="preserve">Position: ________________________________</w:t>
      </w:r>
    </w:p>
    <w:p>
      <w:pPr>
        <w:spacing w:after="200"/>
      </w:pPr>
      <w:r>
        <w:rPr>
          <w:sz w:val="22"/>
          <w:szCs w:val="22"/>
        </w:rPr>
        <w:t xml:space="preserve">Date: ____________________________________</w:t>
      </w:r>
    </w:p>
    <w:p>
      <w:pPr>
        <w:spacing w:before="400"/>
      </w:pPr>
      <w:r>
        <w:rPr>
          <w:b/>
          <w:bCs/>
          <w:color w:val="666666"/>
          <w:sz w:val="18"/>
          <w:szCs w:val="18"/>
        </w:rPr>
        <w:t xml:space="preserve">END OF DATA PROCESSING AGREEMENT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6"/>
        <w:szCs w:val="16"/>
      </w:rPr>
      <w:t xml:space="preserve">Confidential  |  Page </w:t>
    </w:r>
    <w:r>
      <w:rPr>
        <w:rFonts w:ascii="Times New Roman" w:cs="Times New Roman" w:eastAsia="Times New Roman" w:hAnsi="Times New Roman"/>
        <w:color w:val="666666"/>
        <w:sz w:val="16"/>
        <w:szCs w:val="16"/>
      </w:rPr>
      <w:fldChar w:fldCharType="begin"/>
      <w:instrText xml:space="preserve">PAGE</w:instrText>
      <w:fldChar w:fldCharType="separate"/>
      <w:fldChar w:fldCharType="end"/>
    </w:r>
    <w:r>
      <w:rPr>
        <w:rFonts w:ascii="Times New Roman" w:cs="Times New Roman" w:eastAsia="Times New Roman" w:hAnsi="Times New Roman"/>
        <w:color w:val="666666"/>
        <w:sz w:val="16"/>
        <w:szCs w:val="16"/>
      </w:rPr>
      <w:t xml:space="preserve"> of </w:t>
    </w:r>
    <w:r>
      <w:rPr>
        <w:rFonts w:ascii="Times New Roman" w:cs="Times New Roman" w:eastAsia="Times New Roman" w:hAnsi="Times New Roman"/>
        <w:color w:val="666666"/>
        <w:sz w:val="16"/>
        <w:szCs w:val="16"/>
      </w:rPr>
      <w:fldChar w:fldCharType="begin"/>
      <w:instrText xml:space="preserve">NUMPAGES</w:instrText>
      <w:fldChar w:fldCharType="separate"/>
      <w:fldChar w:fldCharType="end"/>
    </w:r>
    <w:r>
      <w:rPr>
        <w:rFonts w:ascii="Times New Roman" w:cs="Times New Roman" w:eastAsia="Times New Roman" w:hAnsi="Times New Roman"/>
        <w:color w:val="666666"/>
        <w:sz w:val="16"/>
        <w:szCs w:val="16"/>
      </w:rPr>
      <w:t xml:space="preserve">  |  UK GDPR Article 28 Agreement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65d" w:sz="6" w:space="8"/>
      </w:pBdr>
    </w:pPr>
    <w:r>
      <w:rPr>
        <w:rFonts w:ascii="Times New Roman" w:cs="Times New Roman" w:eastAsia="Times New Roman" w:hAnsi="Times New Roman"/>
        <w:b/>
        <w:bCs/>
        <w:sz w:val="18"/>
        <w:szCs w:val="18"/>
      </w:rPr>
      <w:t xml:space="preserve">MARHANA &amp; CO CONSULTING LTD</w:t>
    </w:r>
    <w:r>
      <w:rPr>
        <w:rFonts w:ascii="Times New Roman" w:cs="Times New Roman" w:eastAsia="Times New Roman" w:hAnsi="Times New Roman"/>
        <w:color w:val="666666"/>
        <w:sz w:val="18"/>
        <w:szCs w:val="18"/>
      </w:rPr>
      <w:t xml:space="preserve">  |  Data Processing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2026-09-10T22:59:25.015Z</dcterms:created>
  <dcterms:modified xsi:type="dcterms:W3CDTF">2026-09-10T22:59:25.016Z</dcterms:modified>
</cp:coreProperties>
</file>

<file path=docProps/custom.xml><?xml version="1.0" encoding="utf-8"?>
<Properties xmlns="http://schemas.openxmlformats.org/officeDocument/2006/custom-properties" xmlns:vt="http://schemas.openxmlformats.org/officeDocument/2006/docPropsVTypes"/>
</file>