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2A5459"/>
          <w:spacing w:val="110"/>
          <w:sz w:val="14"/>
          <w:szCs w:val="14"/>
        </w:rPr>
        <w:t xml:space="preserve">CONFIDENTIAL</w:t>
      </w:r>
    </w:p>
    <w:p>
      <w:pPr>
        <w:pBdr>
          <w:bottom w:val="single" w:color="03353A" w:sz="12"/>
        </w:pBdr>
        <w:spacing w:after="220" w:before="0"/>
      </w:pPr>
      <w:r>
        <w:rPr>
          <w:sz w:val="2"/>
          <w:szCs w:val="2"/>
        </w:rPr>
        <w:t xml:space="preserve"/>
      </w:r>
    </w:p>
    <w:p>
      <w:pPr>
        <w:spacing w:after="90" w:before="140"/>
      </w:pPr>
      <w:r>
        <w:rPr>
          <w:rFonts w:ascii="Georgia" w:cs="Georgia" w:eastAsia="Georgia" w:hAnsi="Georgia"/>
          <w:color w:val="03353A"/>
          <w:sz w:val="40"/>
          <w:szCs w:val="40"/>
        </w:rPr>
        <w:t xml:space="preserve">Terms of Engagement</w:t>
      </w:r>
    </w:p>
    <w:p>
      <w:pPr>
        <w:spacing w:after="200" w:before="0"/>
      </w:pPr>
      <w:r>
        <w:rPr>
          <w:rFonts w:ascii="Georgia" w:cs="Georgia" w:eastAsia="Georgia" w:hAnsi="Georgia"/>
          <w:i/>
          <w:iCs/>
          <w:color w:val="2A5459"/>
          <w:sz w:val="22"/>
          <w:szCs w:val="22"/>
        </w:rPr>
        <w:t xml:space="preserve">Marhana &amp; Co Consulting Ltd</w:t>
      </w:r>
    </w:p>
    <w:p>
      <w:pPr>
        <w:spacing w:after="300" w:before="0"/>
      </w:pPr>
      <w:r>
        <w:rPr>
          <w:rFonts w:ascii="Calibri" w:cs="Calibri" w:eastAsia="Calibri" w:hAnsi="Calibri"/>
          <w:i/>
          <w:iCs/>
          <w:color w:val="6A6A6A"/>
          <w:sz w:val="18"/>
          <w:szCs w:val="18"/>
        </w:rPr>
        <w:t xml:space="preserve">Master template — client engagement terms for bid and tender support services</w:t>
      </w:r>
    </w:p>
    <w:tbl>
      <w:tblPr>
        <w:tblW w:type="dxa" w:w="9746"/>
        <w:tblBorders>
          <w:top w:val="single" w:color="03353A" w:sz="8"/>
          <w:left w:val="none" w:color="auto" w:sz="0"/>
          <w:bottom w:val="single" w:color="03353A" w:sz="8"/>
          <w:right w:val="none" w:color="auto" w:sz="0"/>
          <w:insideH w:val="single" w:color="E3DFD8" w:sz="2"/>
          <w:insideV w:val="none" w:color="auto" w:sz="0"/>
        </w:tblBorders>
      </w:tblPr>
      <w:tblGrid>
        <w:gridCol w:w="3100"/>
        <w:gridCol w:w="6646"/>
      </w:tblGrid>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5F6E70"/>
                <w:spacing w:val="34"/>
                <w:sz w:val="14"/>
                <w:szCs w:val="14"/>
              </w:rPr>
              <w:t xml:space="preserve">DOCUMENT OWNER</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[DOCUMENT OWNER NAME], [DOCUMENT OWNER ROLE]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5F6E70"/>
                <w:spacing w:val="34"/>
                <w:sz w:val="14"/>
                <w:szCs w:val="14"/>
              </w:rPr>
              <w:t xml:space="preserve">VERSION</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[VERSION NUMBER]</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5F6E70"/>
                <w:spacing w:val="34"/>
                <w:sz w:val="14"/>
                <w:szCs w:val="14"/>
              </w:rPr>
              <w:t xml:space="preserve">LAST REVIEWED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[LAST REVIEWED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5F6E70"/>
                <w:spacing w:val="34"/>
                <w:sz w:val="14"/>
                <w:szCs w:val="14"/>
              </w:rPr>
              <w:t xml:space="preserve">NEXT REVIEW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5F6E70"/>
                <w:spacing w:val="34"/>
                <w:sz w:val="14"/>
                <w:szCs w:val="14"/>
              </w:rPr>
              <w:t xml:space="preserve">STATUS</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bCs/>
                <w:i w:val="false"/>
                <w:iCs w:val="false"/>
                <w:color w:val="1A1A1A"/>
                <w:sz w:val="18"/>
                <w:szCs w:val="18"/>
              </w:rPr>
              <w:t xml:space="preserve">DRAFTING FRAMEWORK — NOT FOR ISSUE UNTIL REVIEWED BY A QUALIFIED SOLICITOR</w:t>
            </w:r>
          </w:p>
        </w:tc>
      </w:tr>
    </w:tbl>
    <w:p>
      <w:r>
        <w:rPr>
          <w:sz w:val="14"/>
          <w:szCs w:val="14"/>
        </w:rPr>
        <w:t xml:space="preserve"/>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A — ENGAGEMENT PARTICULARS</w:t>
      </w:r>
    </w:p>
    <w:tbl>
      <w:tblPr>
        <w:tblW w:type="dxa" w:w="9746"/>
        <w:tblBorders>
          <w:top w:val="single" w:color="03353A" w:sz="8"/>
          <w:left w:val="none" w:color="auto" w:sz="0"/>
          <w:bottom w:val="single" w:color="03353A" w:sz="8"/>
          <w:right w:val="none" w:color="auto" w:sz="0"/>
          <w:insideH w:val="single" w:color="E3DFD8" w:sz="2"/>
          <w:insideV w:val="none" w:color="auto" w:sz="0"/>
        </w:tblBorders>
      </w:tblPr>
      <w:tblGrid>
        <w:gridCol w:w="903"/>
        <w:gridCol w:w="2459"/>
        <w:gridCol w:w="6384"/>
      </w:tblGrid>
      <w:tr>
        <w:trPr>
          <w:tblHeader/>
        </w:trPr>
        <w:tc>
          <w:tcPr>
            <w:tcW w:type="dxa" w:w="903"/>
            <w:tcBorders>
              <w:top w:val="none" w:color="auto" w:sz="0"/>
              <w:left w:val="none" w:color="auto" w:sz="0"/>
              <w:bottom w:val="single" w:color="03353A"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03353A"/>
                <w:spacing w:val="34"/>
                <w:sz w:val="14"/>
                <w:szCs w:val="14"/>
              </w:rPr>
              <w:t xml:space="preserve">REF</w:t>
            </w:r>
          </w:p>
        </w:tc>
        <w:tc>
          <w:tcPr>
            <w:tcW w:type="dxa" w:w="2459"/>
            <w:tcBorders>
              <w:top w:val="none" w:color="auto" w:sz="0"/>
              <w:left w:val="none" w:color="auto" w:sz="0"/>
              <w:bottom w:val="single" w:color="03353A"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03353A"/>
                <w:spacing w:val="34"/>
                <w:sz w:val="14"/>
                <w:szCs w:val="14"/>
              </w:rPr>
              <w:t xml:space="preserve">ITEM</w:t>
            </w:r>
          </w:p>
        </w:tc>
        <w:tc>
          <w:tcPr>
            <w:tcW w:type="dxa" w:w="6384"/>
            <w:tcBorders>
              <w:top w:val="none" w:color="auto" w:sz="0"/>
              <w:left w:val="none" w:color="auto" w:sz="0"/>
              <w:bottom w:val="single" w:color="03353A"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03353A"/>
                <w:spacing w:val="34"/>
                <w:sz w:val="14"/>
                <w:szCs w:val="14"/>
              </w:rPr>
              <w:t xml:space="preserve">ENTRY</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A.1</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Consultant</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Marhana &amp; Co Consulting Ltd, company number [COMPANY REGISTRATION NUMBER], registered office [REGISTERED OFFICE ADDRESS]</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A.2</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 company number [CLIENT COMPANY NUMBER], registered office [CLIENT REGISTERED OFFICE]</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A.3</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contact</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CONTACT NAME], [CLIENT CONTACT ROLE], [CLIENT CONTACT EMAIL]</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A.4</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Engagement reference</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[ENGAGEMENT REFERENCE]</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A.5</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Engagement type</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[BID FIT SCORE / BID READINESS ASSESSMENT / TENDER AND PQQ WRITING / BID REVIEW AND REWRITE / SOCIAL VALUE STATEMENT / FINANCIAL AND COSTED BUSINESS CASE / ACCREDITATION SUPPORT / EVIDENCE BANK DEVELOPMENT / FRAMEWORK APPLICATION / CONSORTIUM COORDINATION / CONTRACT MOBILISATION / POST-TENDER DEBRIEF ANALYSIS / SOCIAL VALUE DELIVERY REPORTING / RETAINER]</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A.6</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Opportunity or contract concerned</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[OPPORTUNITY TITLE AND REFERENCE]</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A.7</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Contracting authority</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[CONTRACTING AUTHORITY NAME]</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A.8</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Submission deadline</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[SUBMISSION DEADLINE DATE AND TIME]</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A.9</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Fee</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£[FEE] [FIXED / PER CYCLE / PER MONTH], exclusive of VAT</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A.10</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Payment terms</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[PAYMENT TERMS]</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A.11</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Start date</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[ENGAGEMENT START DATE]</w:t>
            </w:r>
          </w:p>
        </w:tc>
      </w:tr>
      <w:tr>
        <w:tc>
          <w:tcPr>
            <w:tcW w:type="dxa" w:w="9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A.12</w:t>
            </w:r>
          </w:p>
        </w:tc>
        <w:tc>
          <w:tcPr>
            <w:tcW w:type="dxa" w:w="245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Commencement conditional on</w:t>
            </w:r>
          </w:p>
        </w:tc>
        <w:tc>
          <w:tcPr>
            <w:tcW w:type="dxa" w:w="638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Signed acceptance of these terms and receipt of [DEPOSIT PERCENTAGE]% of the fee</w:t>
            </w:r>
          </w:p>
        </w:tc>
      </w:tr>
    </w:tbl>
    <w:p>
      <w:r>
        <w:rPr>
          <w:sz w:val="16"/>
          <w:szCs w:val="16"/>
        </w:rPr>
        <w:t xml:space="preserve"/>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B — SCOPE</w:t>
      </w:r>
    </w:p>
    <w:p>
      <w:pPr>
        <w:pStyle w:val="Heading2"/>
        <w:spacing w:after="110" w:before="320"/>
      </w:pPr>
      <w:r>
        <w:rPr>
          <w:rFonts w:ascii="Georgia" w:cs="Georgia" w:eastAsia="Georgia" w:hAnsi="Georgia"/>
          <w:b/>
          <w:bCs/>
          <w:color w:val="03353A"/>
          <w:sz w:val="21"/>
          <w:szCs w:val="21"/>
        </w:rPr>
        <w:t xml:space="preserve">B.1 Services included</w:t>
      </w:r>
    </w:p>
    <w:p>
      <w:pPr>
        <w:spacing w:after="130" w:before="60"/>
      </w:pPr>
      <w:r>
        <w:rPr>
          <w:rFonts w:ascii="Calibri" w:cs="Calibri" w:eastAsia="Calibri" w:hAnsi="Calibri"/>
          <w:b w:val="false"/>
          <w:bCs w:val="false"/>
          <w:i w:val="false"/>
          <w:iCs w:val="false"/>
          <w:color w:val="1A1A1A"/>
          <w:sz w:val="20"/>
          <w:szCs w:val="20"/>
        </w:rPr>
        <w:t xml:space="preserve">The Consultant will provide the following, and only the following:</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[SERVICE ITEM]</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[SERVICE ITEM]</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[SERVICE ITEM]</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[NUMBER] rounds of revision on drafted content following Client comment.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Delivery of drafts to the Client not later than [DRAFT DELIVERY DEADLINE] before the submission deadline.</w:t>
      </w:r>
    </w:p>
    <w:p>
      <w:pPr>
        <w:pStyle w:val="Heading2"/>
        <w:spacing w:after="110" w:before="320"/>
      </w:pPr>
      <w:r>
        <w:rPr>
          <w:rFonts w:ascii="Georgia" w:cs="Georgia" w:eastAsia="Georgia" w:hAnsi="Georgia"/>
          <w:b/>
          <w:bCs/>
          <w:color w:val="03353A"/>
          <w:sz w:val="21"/>
          <w:szCs w:val="21"/>
        </w:rPr>
        <w:t xml:space="preserve">B.2 Services expressly excluded</w:t>
      </w:r>
    </w:p>
    <w:p>
      <w:pPr>
        <w:spacing w:after="130" w:before="60"/>
      </w:pPr>
      <w:r>
        <w:rPr>
          <w:rFonts w:ascii="Calibri" w:cs="Calibri" w:eastAsia="Calibri" w:hAnsi="Calibri"/>
          <w:b w:val="false"/>
          <w:bCs w:val="false"/>
          <w:i w:val="false"/>
          <w:iCs w:val="false"/>
          <w:color w:val="1A1A1A"/>
          <w:sz w:val="20"/>
          <w:szCs w:val="20"/>
        </w:rPr>
        <w:t xml:space="preserve">The following do not form part of any engagement unless separately agreed in writing:</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Submission.</w:t>
      </w:r>
      <w:r>
        <w:rPr>
          <w:rFonts w:ascii="Calibri" w:cs="Calibri" w:eastAsia="Calibri" w:hAnsi="Calibri"/>
          <w:b w:val="false"/>
          <w:bCs w:val="false"/>
          <w:i w:val="false"/>
          <w:iCs w:val="false"/>
          <w:color w:val="1A1A1A"/>
          <w:sz w:val="20"/>
          <w:szCs w:val="20"/>
        </w:rPr>
        <w:t xml:space="preserve"> The Client uploads and submits its own tender responses. The Consultant does not hold portal credentials or submit on the Client's behalf.</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Carbon accounting.</w:t>
      </w:r>
      <w:r>
        <w:rPr>
          <w:rFonts w:ascii="Calibri" w:cs="Calibri" w:eastAsia="Calibri" w:hAnsi="Calibri"/>
          <w:b w:val="false"/>
          <w:bCs w:val="false"/>
          <w:i w:val="false"/>
          <w:iCs w:val="false"/>
          <w:color w:val="1A1A1A"/>
          <w:sz w:val="20"/>
          <w:szCs w:val="20"/>
        </w:rPr>
        <w:t xml:space="preserve"> The Consultant drafts and structures Carbon Reduction Plans. It does not calculate, model, estimate, audit or verify greenhouse gas emissions, baselines, conversion factor application, target trajectories or projected savings. Those figures are supplied by the Client or by a third-party carbon consultant instructed by the Client.</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Verification of Client assertions.</w:t>
      </w:r>
      <w:r>
        <w:rPr>
          <w:rFonts w:ascii="Calibri" w:cs="Calibri" w:eastAsia="Calibri" w:hAnsi="Calibri"/>
          <w:b w:val="false"/>
          <w:bCs w:val="false"/>
          <w:i w:val="false"/>
          <w:iCs w:val="false"/>
          <w:color w:val="1A1A1A"/>
          <w:sz w:val="20"/>
          <w:szCs w:val="20"/>
        </w:rPr>
        <w:t xml:space="preserve"> The Consultant records what the Client states about its policies, controls, accreditations, personnel, insurance, performance and compliance. It does not audit, inspect or independently verify any of it.</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Legal advice.</w:t>
      </w:r>
      <w:r>
        <w:rPr>
          <w:rFonts w:ascii="Calibri" w:cs="Calibri" w:eastAsia="Calibri" w:hAnsi="Calibri"/>
          <w:b w:val="false"/>
          <w:bCs w:val="false"/>
          <w:i w:val="false"/>
          <w:iCs w:val="false"/>
          <w:color w:val="1A1A1A"/>
          <w:sz w:val="20"/>
          <w:szCs w:val="20"/>
        </w:rPr>
        <w:t xml:space="preserve"> The Consultant does not provide legal advice or legal services, and is not a firm of solicitors. The Client should take independent legal advice on contract terms, procurement challenge, and any matter of legal interpretation.</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Financial and accounting advice.</w:t>
      </w:r>
      <w:r>
        <w:rPr>
          <w:rFonts w:ascii="Calibri" w:cs="Calibri" w:eastAsia="Calibri" w:hAnsi="Calibri"/>
          <w:b w:val="false"/>
          <w:bCs w:val="false"/>
          <w:i w:val="false"/>
          <w:iCs w:val="false"/>
          <w:color w:val="1A1A1A"/>
          <w:sz w:val="20"/>
          <w:szCs w:val="20"/>
        </w:rPr>
        <w:t xml:space="preserve"> The Consultant does not provide accountancy, audit, tax or investment advice.</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Regulated activities.</w:t>
      </w:r>
      <w:r>
        <w:rPr>
          <w:rFonts w:ascii="Calibri" w:cs="Calibri" w:eastAsia="Calibri" w:hAnsi="Calibri"/>
          <w:b w:val="false"/>
          <w:bCs w:val="false"/>
          <w:i w:val="false"/>
          <w:iCs w:val="false"/>
          <w:color w:val="1A1A1A"/>
          <w:sz w:val="20"/>
          <w:szCs w:val="20"/>
        </w:rPr>
        <w:t xml:space="preserve"> The Consultant does not carry on any activity requiring authorisation under the Financial Services and Markets Act 2000.</w:t>
      </w:r>
    </w:p>
    <w:p>
      <w:pPr>
        <w:pStyle w:val="ListParagraph"/>
        <w:numPr>
          <w:ilvl w:val="0"/>
          <w:numId w:val="2"/>
        </w:numPr>
        <w:spacing w:after="70" w:before="40"/>
      </w:pPr>
      <w:r>
        <w:rPr>
          <w:rFonts w:ascii="Calibri" w:cs="Calibri" w:eastAsia="Calibri" w:hAnsi="Calibri"/>
          <w:b/>
          <w:bCs/>
          <w:i w:val="false"/>
          <w:iCs w:val="false"/>
          <w:color w:val="1A1A1A"/>
          <w:sz w:val="20"/>
          <w:szCs w:val="20"/>
        </w:rPr>
        <w:t xml:space="preserve">Technical, clinical and engineering content.</w:t>
      </w:r>
      <w:r>
        <w:rPr>
          <w:rFonts w:ascii="Calibri" w:cs="Calibri" w:eastAsia="Calibri" w:hAnsi="Calibri"/>
          <w:b w:val="false"/>
          <w:bCs w:val="false"/>
          <w:i w:val="false"/>
          <w:iCs w:val="false"/>
          <w:color w:val="1A1A1A"/>
          <w:sz w:val="20"/>
          <w:szCs w:val="20"/>
        </w:rPr>
        <w:t xml:space="preserve"> Specification-level technical, clinical or engineering content is supplied by the Client and is drafted, not originated, by the Consultant.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[ADDITIONAL EXCLUSION]</w:t>
      </w:r>
    </w:p>
    <w:p>
      <w:pPr>
        <w:pStyle w:val="Heading2"/>
        <w:spacing w:after="110" w:before="320"/>
      </w:pPr>
      <w:r>
        <w:rPr>
          <w:rFonts w:ascii="Georgia" w:cs="Georgia" w:eastAsia="Georgia" w:hAnsi="Georgia"/>
          <w:b/>
          <w:bCs/>
          <w:color w:val="03353A"/>
          <w:sz w:val="21"/>
          <w:szCs w:val="21"/>
        </w:rPr>
        <w:t xml:space="preserve">B.3 Variation</w:t>
      </w:r>
    </w:p>
    <w:p>
      <w:pPr>
        <w:spacing w:after="130" w:before="60"/>
      </w:pPr>
      <w:r>
        <w:rPr>
          <w:rFonts w:ascii="Calibri" w:cs="Calibri" w:eastAsia="Calibri" w:hAnsi="Calibri"/>
          <w:b w:val="false"/>
          <w:bCs w:val="false"/>
          <w:i w:val="false"/>
          <w:iCs w:val="false"/>
          <w:color w:val="1A1A1A"/>
          <w:sz w:val="20"/>
          <w:szCs w:val="20"/>
        </w:rPr>
        <w:t xml:space="preserve">Any change to scope must be agreed in writing and may attract an additional fee, quoted before the work is undertaken.</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C — CLIENT RESPONSIBILITIES</w:t>
      </w:r>
    </w:p>
    <w:p>
      <w:pPr>
        <w:spacing w:after="130" w:before="60"/>
      </w:pPr>
      <w:r>
        <w:rPr>
          <w:rFonts w:ascii="Calibri" w:cs="Calibri" w:eastAsia="Calibri" w:hAnsi="Calibri"/>
          <w:b w:val="false"/>
          <w:bCs w:val="false"/>
          <w:i w:val="false"/>
          <w:iCs w:val="false"/>
          <w:color w:val="1A1A1A"/>
          <w:sz w:val="20"/>
          <w:szCs w:val="20"/>
        </w:rPr>
        <w:t xml:space="preserve">The Client is responsible for:</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Providing complete and accurate information, and for the truth of every factual assertion the Consultant records on its behalf.</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Providing information by [INFORMATION DEADLINE]. Where information is provided late, the Consultant may decline to meet the submission deadline without liability.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Reviewing every draft before submission, and satisfying itself that the content is accurate and that it can evidence every claim made.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Approving the final submission in writing before it is submitted.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Submitting the tender through the relevant portal.</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Holding and maintaining the accreditations, insurances, policies and certifications referred to in any submission.</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Obtaining any consent required before a contracting authority, contract value or photograph is referred to in published or submitted material.</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Notifying the Consultant promptly of any change that renders previously supplied information inaccurate.</w:t>
      </w:r>
    </w:p>
    <w:p>
      <w:pPr>
        <w:spacing w:after="130" w:before="60"/>
      </w:pPr>
      <w:r>
        <w:rPr>
          <w:rFonts w:ascii="Calibri" w:cs="Calibri" w:eastAsia="Calibri" w:hAnsi="Calibri"/>
          <w:b/>
          <w:bCs/>
          <w:i w:val="false"/>
          <w:iCs w:val="false"/>
          <w:color w:val="1A1A1A"/>
          <w:sz w:val="20"/>
          <w:szCs w:val="20"/>
        </w:rPr>
        <w:t xml:space="preserve">Client acknowledgement:</w:t>
      </w:r>
      <w:r>
        <w:rPr>
          <w:rFonts w:ascii="Calibri" w:cs="Calibri" w:eastAsia="Calibri" w:hAnsi="Calibri"/>
          <w:b w:val="false"/>
          <w:bCs w:val="false"/>
          <w:i w:val="false"/>
          <w:iCs w:val="false"/>
          <w:color w:val="1A1A1A"/>
          <w:sz w:val="20"/>
          <w:szCs w:val="20"/>
        </w:rPr>
        <w:t xml:space="preserve"> the Client acknowledges that a submission is made in the Client's own name; that the Client alone signs any declaration within it; and that responsibility for the accuracy of the submission rests with the Client.</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D — FEES AND PAYMENT</w:t>
      </w:r>
    </w:p>
    <w:tbl>
      <w:tblPr>
        <w:tblW w:type="dxa" w:w="9746"/>
        <w:tblBorders>
          <w:top w:val="single" w:color="03353A" w:sz="8"/>
          <w:left w:val="none" w:color="auto" w:sz="0"/>
          <w:bottom w:val="single" w:color="03353A" w:sz="8"/>
          <w:right w:val="none" w:color="auto" w:sz="0"/>
          <w:insideH w:val="single" w:color="E3DFD8" w:sz="2"/>
          <w:insideV w:val="none" w:color="auto" w:sz="0"/>
        </w:tblBorders>
      </w:tblPr>
      <w:tblGrid>
        <w:gridCol w:w="979"/>
        <w:gridCol w:w="2381"/>
        <w:gridCol w:w="6386"/>
      </w:tblGrid>
      <w:tr>
        <w:trPr>
          <w:tblHeader/>
        </w:trPr>
        <w:tc>
          <w:tcPr>
            <w:tcW w:type="dxa" w:w="979"/>
            <w:tcBorders>
              <w:top w:val="none" w:color="auto" w:sz="0"/>
              <w:left w:val="none" w:color="auto" w:sz="0"/>
              <w:bottom w:val="single" w:color="03353A"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03353A"/>
                <w:spacing w:val="34"/>
                <w:sz w:val="14"/>
                <w:szCs w:val="14"/>
              </w:rPr>
              <w:t xml:space="preserve">REF</w:t>
            </w:r>
          </w:p>
        </w:tc>
        <w:tc>
          <w:tcPr>
            <w:tcW w:type="dxa" w:w="2381"/>
            <w:tcBorders>
              <w:top w:val="none" w:color="auto" w:sz="0"/>
              <w:left w:val="none" w:color="auto" w:sz="0"/>
              <w:bottom w:val="single" w:color="03353A"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03353A"/>
                <w:spacing w:val="34"/>
                <w:sz w:val="14"/>
                <w:szCs w:val="14"/>
              </w:rPr>
              <w:t xml:space="preserve">ITEM</w:t>
            </w:r>
          </w:p>
        </w:tc>
        <w:tc>
          <w:tcPr>
            <w:tcW w:type="dxa" w:w="6386"/>
            <w:tcBorders>
              <w:top w:val="none" w:color="auto" w:sz="0"/>
              <w:left w:val="none" w:color="auto" w:sz="0"/>
              <w:bottom w:val="single" w:color="03353A"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03353A"/>
                <w:spacing w:val="34"/>
                <w:sz w:val="14"/>
                <w:szCs w:val="14"/>
              </w:rPr>
              <w:t xml:space="preserve">ENTRY</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Fee basis</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[FIXED FEE / RETAINER / PER CYCLE]</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D.2</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Fee</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£[FEE], exclusive of VAT</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D.3</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VAT</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[VAT CHARGEABLE — REGISTRATION [VAT REGISTRATION NUMBER] / NOT CURRENTLY VAT REGISTERED]</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D.4</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Deposit payable on acceptance</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[DEPOSIT PERCENTAGE]%</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D.5</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Balance payable</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[BALANCE PAYMENT TRIGGER]</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D.6</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Payment period</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[PAYMENT PERIOD] days from invoice</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D.7</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Bid Fit Score credit</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Where the Client proceeds to full authorship, the Bid Fit Score fee is credited against the authorship fee</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D.8</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Retainer term</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Initial [RETAINER INITIAL TERM] months, thereafter [NOTICE PERIOD] days' notice either way, payable monthly in advance</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D.9</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Late payment</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Interest and compensation may be claimed under the Late Payment of Commercial Debts (Interest) Act 1998</w:t>
            </w:r>
          </w:p>
        </w:tc>
      </w:tr>
      <w:tr>
        <w:tc>
          <w:tcPr>
            <w:tcW w:type="dxa" w:w="97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D.10</w:t>
            </w:r>
          </w:p>
        </w:tc>
        <w:tc>
          <w:tcPr>
            <w:tcW w:type="dxa" w:w="238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Expenses</w:t>
            </w:r>
          </w:p>
        </w:tc>
        <w:tc>
          <w:tcPr>
            <w:tcW w:type="dxa" w:w="638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[EXPENSES POSITION]</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Fees are payable irrespective of the outcome of any tender. The Consultant does not work on a contingent or success-fee basis.</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E — NO GUARANTEE OF OUTCOME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gives no warranty, representation or guarantee that any submission will be successful, will be shortlisted, will achieve any particular score, or will result in the award of any contract.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Award decisions rest with the contracting authority and depend on factors outside the Consultant's control, including price, competition, evaluator judgement and the Client's own record and capacity.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No statement made by the Consultant about likely prospects constitutes a representation as to outcome.</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F — LIABILITY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Nothing in these terms limits liability for death or personal injury caused by negligence, for fraud or fraudulent misrepresentation, or for any liability that cannot lawfully be limited.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Subject to paragraph 1, the Consultant's total aggregate liability arising out of or in connection with the engagement, whether in contract, tort, breach of statutory duty or otherwise, is limited to £[LIABILITY CAP] or the fees paid under the engagement, whichever is the [GREATER / LESSER].</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Subject to paragraph 1, the Consultant is not liable for loss of profit, loss of contract, loss of opportunity, loss of anticipated savings, loss of goodwill, or any indirect or consequential loss.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is not liable for any loss arising from inaccurate, incomplete or late information supplied by the Client or by a third party on the Client's instruction, nor from the Client's failure to review or approve a draft, nor from the Client's failure to submit a tender.</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is not liable for the accuracy of any figure, calculation or technical content supplied by the Client or a third party and reproduced in a submission.</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maintains professional indemnity insurance of £[PROFESSIONAL INDEMNITY LIMIT] with [INSURER NAME].</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G — CONFIDENTIALITY AND INFORMATION HANDLING</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Each party will keep confidential the other's confidential information and will not disclose it except to personnel who need it for the engagement, or where required by law.</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Tender documentation issued by a contracting authority is treated as confidential to that authority and is handled in accordance with any restriction imposed by it.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applies proportionate controls to prevent confidential contracting authority information from being used as training data for artificial intelligence systems, consistent with PPN 017.</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Assistive technology may be used for opportunity scanning, requirement extraction and compliance checking. Persuasive content, evidence verification and final review are conducted by the responsible principal.</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Confidential material is retained for [RETENTION PERIOD] and then securely destroyed, unless the Client directs otherwise in writing.</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may refer to the engagement in general terms in its own marketing only with the Client's prior written consent: [CONSENT GIVEN / CONSENT WITHHELD].</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H — INTELLECTUAL PROPERTY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On payment in full, the Client owns the submission-specific content authored for it under the engagement.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retains ownership of its own templates, methodologies, scoring frameworks, checklists and generic content, and of any development of them arising during the engagement.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Client may use Consultant-owned templates for its own internal purposes and may not licence, resell or distribute them.</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Material supplied by the Client remains the Client's property.</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I — DATA PROTECTION</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Each party will comply with the UK GDPR and the Data Protection Act 2018.</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In relation to personal data supplied by the Client for inclusion in a submission, the Consultant acts as [PROCESSOR / CONTROLLER] and processes it only for the purposes of the engagement.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Where the Consultant acts as processor, the parties will enter into terms meeting Article 28 UK GDPR before processing begins.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Personal data is retained for [PERSONAL DATA RETENTION PERIOD] and then deleted.</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is registered with the Information Commissioner's Office under registration [ICO REGISTRATION NUMBER].</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J — CONFLICTS OF INTEREST</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will not act for two clients competing for the same lot of the same opportunity.</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Consultant will check for conflicts before accepting any engagement and will notify the Client promptly if one arises.</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Where a conflict arises during an engagement, the Consultant will [CONFLICT RESOLUTION APPROACH].</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K — TERMINATION</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Either party may terminate for material breach not remedied within [REMEDY PERIOD] days of written notice.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The Client may terminate a fixed-fee engagement on written notice; fees for work performed to the date of termination remain payable, and the deposit is non-refundable.</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A retainer may be terminated on [NOTICE PERIOD] days' written notice after the initial term.</w:t>
      </w:r>
    </w:p>
    <w:p>
      <w:pPr>
        <w:pStyle w:val="ListParagraph"/>
        <w:numPr>
          <w:ilvl w:val="0"/>
          <w:numId w:val="2"/>
        </w:numPr>
        <w:spacing w:after="70" w:before="40"/>
      </w:pPr>
      <w:r>
        <w:rPr>
          <w:rFonts w:ascii="Calibri" w:cs="Calibri" w:eastAsia="Calibri" w:hAnsi="Calibri"/>
          <w:b w:val="false"/>
          <w:bCs w:val="false"/>
          <w:i w:val="false"/>
          <w:iCs w:val="false"/>
          <w:color w:val="1A1A1A"/>
          <w:sz w:val="20"/>
          <w:szCs w:val="20"/>
        </w:rPr>
        <w:t xml:space="preserve">Termination does not affect accrued rights or the provisions on confidentiality, liability, intellectual property and data protection.</w:t>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L — GENERAL</w:t>
      </w:r>
    </w:p>
    <w:tbl>
      <w:tblPr>
        <w:tblW w:type="dxa" w:w="9746"/>
        <w:tblBorders>
          <w:top w:val="single" w:color="03353A" w:sz="8"/>
          <w:left w:val="none" w:color="auto" w:sz="0"/>
          <w:bottom w:val="single" w:color="03353A" w:sz="8"/>
          <w:right w:val="none" w:color="auto" w:sz="0"/>
          <w:insideH w:val="single" w:color="E3DFD8" w:sz="2"/>
          <w:insideV w:val="none" w:color="auto" w:sz="0"/>
        </w:tblBorders>
      </w:tblPr>
      <w:tblGrid>
        <w:gridCol w:w="994"/>
        <w:gridCol w:w="2738"/>
        <w:gridCol w:w="6014"/>
      </w:tblGrid>
      <w:tr>
        <w:trPr>
          <w:tblHeader/>
        </w:trPr>
        <w:tc>
          <w:tcPr>
            <w:tcW w:type="dxa" w:w="994"/>
            <w:tcBorders>
              <w:top w:val="none" w:color="auto" w:sz="0"/>
              <w:left w:val="none" w:color="auto" w:sz="0"/>
              <w:bottom w:val="single" w:color="03353A"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03353A"/>
                <w:spacing w:val="34"/>
                <w:sz w:val="14"/>
                <w:szCs w:val="14"/>
              </w:rPr>
              <w:t xml:space="preserve">REF</w:t>
            </w:r>
          </w:p>
        </w:tc>
        <w:tc>
          <w:tcPr>
            <w:tcW w:type="dxa" w:w="2738"/>
            <w:tcBorders>
              <w:top w:val="none" w:color="auto" w:sz="0"/>
              <w:left w:val="none" w:color="auto" w:sz="0"/>
              <w:bottom w:val="single" w:color="03353A"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03353A"/>
                <w:spacing w:val="34"/>
                <w:sz w:val="14"/>
                <w:szCs w:val="14"/>
              </w:rPr>
              <w:t xml:space="preserve">ITEM</w:t>
            </w:r>
          </w:p>
        </w:tc>
        <w:tc>
          <w:tcPr>
            <w:tcW w:type="dxa" w:w="6014"/>
            <w:tcBorders>
              <w:top w:val="none" w:color="auto" w:sz="0"/>
              <w:left w:val="none" w:color="auto" w:sz="0"/>
              <w:bottom w:val="single" w:color="03353A"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03353A"/>
                <w:spacing w:val="34"/>
                <w:sz w:val="14"/>
                <w:szCs w:val="14"/>
              </w:rPr>
              <w:t xml:space="preserve">ENTRY</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L.1</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Complaints procedure</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[COMPLAINTS PROCEDURE AND CONTACT]</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L.2</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Notices</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 writing to the addresses at Section A</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L.3</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Entire agreement</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These terms and the engagement particulars constitute the entire agreement between the parties</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L.4</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Third party rights</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No person other than the parties has any right to enforce these terms</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L.5</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Assignment</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Neither party may assign without the other's written consent</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L.6</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Governing law</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The law of [ENGLAND AND WALES]</w:t>
            </w:r>
          </w:p>
        </w:tc>
      </w:tr>
      <w:tr>
        <w:tc>
          <w:tcPr>
            <w:tcW w:type="dxa" w:w="99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L.7</w:t>
            </w:r>
          </w:p>
        </w:tc>
        <w:tc>
          <w:tcPr>
            <w:tcW w:type="dxa" w:w="27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Jurisdiction</w:t>
            </w:r>
          </w:p>
        </w:tc>
        <w:tc>
          <w:tcPr>
            <w:tcW w:type="dxa" w:w="601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The courts of [ENGLAND AND WALES]</w:t>
            </w:r>
          </w:p>
        </w:tc>
      </w:tr>
    </w:tbl>
    <w:p>
      <w:r>
        <w:rPr>
          <w:sz w:val="16"/>
          <w:szCs w:val="16"/>
        </w:rPr>
        <w:t xml:space="preserve"/>
      </w:r>
    </w:p>
    <w:p>
      <w:pPr>
        <w:pStyle w:val="Heading1"/>
        <w:pBdr>
          <w:bottom w:val="single" w:color="03353A" w:sz="8"/>
        </w:pBdr>
        <w:spacing w:after="60" w:before="460"/>
      </w:pPr>
      <w:r>
        <w:rPr>
          <w:rFonts w:ascii="Georgia" w:cs="Georgia" w:eastAsia="Georgia" w:hAnsi="Georgia"/>
          <w:color w:val="03353A"/>
          <w:spacing w:val="26"/>
          <w:sz w:val="25"/>
          <w:szCs w:val="25"/>
        </w:rPr>
        <w:t xml:space="preserve">SECTION M — ACCEPTANCE</w:t>
      </w:r>
    </w:p>
    <w:tbl>
      <w:tblPr>
        <w:tblW w:type="dxa" w:w="9746"/>
        <w:tblBorders>
          <w:top w:val="single" w:color="03353A" w:sz="8"/>
          <w:left w:val="none" w:color="auto" w:sz="0"/>
          <w:bottom w:val="single" w:color="03353A" w:sz="8"/>
          <w:right w:val="none" w:color="auto" w:sz="0"/>
          <w:insideH w:val="single" w:color="E3DFD8" w:sz="2"/>
          <w:insideV w:val="none" w:color="auto" w:sz="0"/>
        </w:tblBorders>
      </w:tblPr>
      <w:tblGrid>
        <w:gridCol w:w="2232"/>
        <w:gridCol w:w="1843"/>
        <w:gridCol w:w="2238"/>
        <w:gridCol w:w="2307"/>
        <w:gridCol w:w="1126"/>
      </w:tblGrid>
      <w:tr>
        <w:trPr>
          <w:tblHeader/>
        </w:trPr>
        <w:tc>
          <w:tcPr>
            <w:tcW w:type="dxa" w:w="2232"/>
            <w:tcBorders>
              <w:top w:val="none" w:color="auto" w:sz="0"/>
              <w:left w:val="none" w:color="auto" w:sz="0"/>
              <w:bottom w:val="single" w:color="03353A"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03353A"/>
                <w:spacing w:val="34"/>
                <w:sz w:val="13"/>
                <w:szCs w:val="13"/>
              </w:rPr>
              <w:t xml:space="preserve">PARTY</w:t>
            </w:r>
          </w:p>
        </w:tc>
        <w:tc>
          <w:tcPr>
            <w:tcW w:type="dxa" w:w="1843"/>
            <w:tcBorders>
              <w:top w:val="none" w:color="auto" w:sz="0"/>
              <w:left w:val="none" w:color="auto" w:sz="0"/>
              <w:bottom w:val="single" w:color="03353A"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03353A"/>
                <w:spacing w:val="34"/>
                <w:sz w:val="13"/>
                <w:szCs w:val="13"/>
              </w:rPr>
              <w:t xml:space="preserve">SIGNATURE</w:t>
            </w:r>
          </w:p>
        </w:tc>
        <w:tc>
          <w:tcPr>
            <w:tcW w:type="dxa" w:w="2238"/>
            <w:tcBorders>
              <w:top w:val="none" w:color="auto" w:sz="0"/>
              <w:left w:val="none" w:color="auto" w:sz="0"/>
              <w:bottom w:val="single" w:color="03353A"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03353A"/>
                <w:spacing w:val="34"/>
                <w:sz w:val="13"/>
                <w:szCs w:val="13"/>
              </w:rPr>
              <w:t xml:space="preserve">NAME</w:t>
            </w:r>
          </w:p>
        </w:tc>
        <w:tc>
          <w:tcPr>
            <w:tcW w:type="dxa" w:w="2307"/>
            <w:tcBorders>
              <w:top w:val="none" w:color="auto" w:sz="0"/>
              <w:left w:val="none" w:color="auto" w:sz="0"/>
              <w:bottom w:val="single" w:color="03353A"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03353A"/>
                <w:spacing w:val="34"/>
                <w:sz w:val="13"/>
                <w:szCs w:val="13"/>
              </w:rPr>
              <w:t xml:space="preserve">POSITION</w:t>
            </w:r>
          </w:p>
        </w:tc>
        <w:tc>
          <w:tcPr>
            <w:tcW w:type="dxa" w:w="1126"/>
            <w:tcBorders>
              <w:top w:val="none" w:color="auto" w:sz="0"/>
              <w:left w:val="none" w:color="auto" w:sz="0"/>
              <w:bottom w:val="single" w:color="03353A"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03353A"/>
                <w:spacing w:val="34"/>
                <w:sz w:val="13"/>
                <w:szCs w:val="13"/>
              </w:rPr>
              <w:t xml:space="preserve">DATE</w:t>
            </w:r>
          </w:p>
        </w:tc>
      </w:tr>
      <w:tr>
        <w:tc>
          <w:tcPr>
            <w:tcW w:type="dxa" w:w="223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For Marhana &amp; Co Consulting Ltd</w:t>
            </w:r>
          </w:p>
        </w:tc>
        <w:tc>
          <w:tcPr>
            <w:tcW w:type="dxa" w:w="18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[SIGNATURE]</w:t>
            </w:r>
          </w:p>
        </w:tc>
        <w:tc>
          <w:tcPr>
            <w:tcW w:type="dxa" w:w="22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[CONSULTANT SIGNATORY NAME]</w:t>
            </w:r>
          </w:p>
        </w:tc>
        <w:tc>
          <w:tcPr>
            <w:tcW w:type="dxa" w:w="230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[CONSULTANT SIGNATORY ROLE]</w:t>
            </w:r>
          </w:p>
        </w:tc>
        <w:tc>
          <w:tcPr>
            <w:tcW w:type="dxa" w:w="11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[DATE]</w:t>
            </w:r>
          </w:p>
        </w:tc>
      </w:tr>
      <w:tr>
        <w:tc>
          <w:tcPr>
            <w:tcW w:type="dxa" w:w="223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For [CLIENT LEGAL NAME]</w:t>
            </w:r>
          </w:p>
        </w:tc>
        <w:tc>
          <w:tcPr>
            <w:tcW w:type="dxa" w:w="184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[SIGNATURE]</w:t>
            </w:r>
          </w:p>
        </w:tc>
        <w:tc>
          <w:tcPr>
            <w:tcW w:type="dxa" w:w="223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[CLIENT SIGNATORY NAME]</w:t>
            </w:r>
          </w:p>
        </w:tc>
        <w:tc>
          <w:tcPr>
            <w:tcW w:type="dxa" w:w="230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[CLIENT SIGNATORY ROLE]</w:t>
            </w:r>
          </w:p>
        </w:tc>
        <w:tc>
          <w:tcPr>
            <w:tcW w:type="dxa" w:w="112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[DATE]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Document Owner:</w:t>
      </w:r>
      <w:r>
        <w:rPr>
          <w:rFonts w:ascii="Calibri" w:cs="Calibri" w:eastAsia="Calibri" w:hAnsi="Calibri"/>
          <w:b w:val="false"/>
          <w:bCs w:val="false"/>
          <w:i w:val="false"/>
          <w:iCs w:val="false"/>
          <w:color w:val="1A1A1A"/>
          <w:sz w:val="20"/>
          <w:szCs w:val="20"/>
        </w:rPr>
        <w:t xml:space="preserve"> [DOCUMENT OWNER NAME], [DOCUMENT OWNER ROLE] | </w:t>
      </w:r>
      <w:r>
        <w:rPr>
          <w:rFonts w:ascii="Calibri" w:cs="Calibri" w:eastAsia="Calibri" w:hAnsi="Calibri"/>
          <w:b/>
          <w:bCs/>
          <w:i w:val="false"/>
          <w:iCs w:val="false"/>
          <w:color w:val="1A1A1A"/>
          <w:sz w:val="20"/>
          <w:szCs w:val="20"/>
        </w:rPr>
        <w:t xml:space="preserve">Version:</w:t>
      </w:r>
      <w:r>
        <w:rPr>
          <w:rFonts w:ascii="Calibri" w:cs="Calibri" w:eastAsia="Calibri" w:hAnsi="Calibri"/>
          <w:b w:val="false"/>
          <w:bCs w:val="false"/>
          <w:i w:val="false"/>
          <w:iCs w:val="false"/>
          <w:color w:val="1A1A1A"/>
          <w:sz w:val="20"/>
          <w:szCs w:val="20"/>
        </w:rPr>
        <w:t xml:space="preserve"> [VERSION NUMBER] | </w:t>
      </w:r>
      <w:r>
        <w:rPr>
          <w:rFonts w:ascii="Calibri" w:cs="Calibri" w:eastAsia="Calibri" w:hAnsi="Calibri"/>
          <w:b/>
          <w:bCs/>
          <w:i w:val="false"/>
          <w:iCs w:val="false"/>
          <w:color w:val="1A1A1A"/>
          <w:sz w:val="20"/>
          <w:szCs w:val="20"/>
        </w:rPr>
        <w:t xml:space="preserve">Last Reviewed:</w:t>
      </w:r>
      <w:r>
        <w:rPr>
          <w:rFonts w:ascii="Calibri" w:cs="Calibri" w:eastAsia="Calibri" w:hAnsi="Calibri"/>
          <w:b w:val="false"/>
          <w:bCs w:val="false"/>
          <w:i w:val="false"/>
          <w:iCs w:val="false"/>
          <w:color w:val="1A1A1A"/>
          <w:sz w:val="20"/>
          <w:szCs w:val="20"/>
        </w:rPr>
        <w:t xml:space="preserve"> [LAST REVIEWED DATE] | </w:t>
      </w:r>
      <w:r>
        <w:rPr>
          <w:rFonts w:ascii="Calibri" w:cs="Calibri" w:eastAsia="Calibri" w:hAnsi="Calibri"/>
          <w:b/>
          <w:bCs/>
          <w:i w:val="false"/>
          <w:iCs w:val="false"/>
          <w:color w:val="1A1A1A"/>
          <w:sz w:val="20"/>
          <w:szCs w:val="20"/>
        </w:rPr>
        <w:t xml:space="preserve">Next Review Date:</w:t>
      </w:r>
      <w:r>
        <w:rPr>
          <w:rFonts w:ascii="Calibri" w:cs="Calibri" w:eastAsia="Calibri" w:hAnsi="Calibri"/>
          <w:b w:val="false"/>
          <w:bCs w:val="false"/>
          <w:i w:val="false"/>
          <w:iCs w:val="false"/>
          <w:color w:val="1A1A1A"/>
          <w:sz w:val="20"/>
          <w:szCs w:val="20"/>
        </w:rPr>
        <w:t xml:space="preserve"> [NEXT REVIEW DATE]</w:t>
      </w:r>
    </w:p>
    <w:p>
      <w:pPr>
        <w:spacing w:after="130" w:before="60"/>
      </w:pPr>
      <w:r>
        <w:rPr>
          <w:rFonts w:ascii="Calibri" w:cs="Calibri" w:eastAsia="Calibri" w:hAnsi="Calibri"/>
          <w:b/>
          <w:bCs/>
          <w:i w:val="false"/>
          <w:iCs w:val="false"/>
          <w:color w:val="1A1A1A"/>
          <w:sz w:val="20"/>
          <w:szCs w:val="20"/>
        </w:rPr>
        <w:t xml:space="preserve">Marhana &amp; Co Consulting Ltd | Reference:</w:t>
      </w:r>
      <w:r>
        <w:rPr>
          <w:rFonts w:ascii="Calibri" w:cs="Calibri" w:eastAsia="Calibri" w:hAnsi="Calibri"/>
          <w:b w:val="false"/>
          <w:bCs w:val="false"/>
          <w:i w:val="false"/>
          <w:iCs w:val="false"/>
          <w:color w:val="1A1A1A"/>
          <w:sz w:val="20"/>
          <w:szCs w:val="20"/>
        </w:rPr>
        <w:t xml:space="preserve"> [ENGAGEMENT REFERENCE] | </w:t>
      </w:r>
      <w:r>
        <w:rPr>
          <w:rFonts w:ascii="Calibri" w:cs="Calibri" w:eastAsia="Calibri" w:hAnsi="Calibri"/>
          <w:b/>
          <w:bCs/>
          <w:i w:val="false"/>
          <w:iCs w:val="false"/>
          <w:color w:val="1A1A1A"/>
          <w:sz w:val="20"/>
          <w:szCs w:val="20"/>
        </w:rPr>
        <w:t xml:space="preserve">Classification:</w:t>
      </w:r>
      <w:r>
        <w:rPr>
          <w:rFonts w:ascii="Calibri" w:cs="Calibri" w:eastAsia="Calibri" w:hAnsi="Calibri"/>
          <w:b w:val="false"/>
          <w:bCs w:val="false"/>
          <w:i w:val="false"/>
          <w:iCs w:val="false"/>
          <w:color w:val="1A1A1A"/>
          <w:sz w:val="20"/>
          <w:szCs w:val="20"/>
        </w:rPr>
        <w:t xml:space="preserve"> [CLASSIFICATION]</w:t>
      </w:r>
    </w:p>
    <w:sectPr>
      <w:headerReference w:type="default" r:id="rId7"/>
      <w:footerReference w:type="default" r:id="rId8"/>
      <w:pgSz w:w="11906" w:h="16838" w:orient="portrait"/>
      <w:pgMar w:top="120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FB4" w:sz="6"/>
      </w:pBdr>
      <w:spacing w:after="60" w:before="0"/>
    </w:pPr>
    <w:r>
      <w:rPr>
        <w:sz w:val="2"/>
        <w:szCs w:val="2"/>
      </w:rPr>
      <w:t xml:space="preserve"/>
    </w:r>
  </w:p>
  <w:p>
    <w:r>
      <w:rPr>
        <w:rFonts w:ascii="Calibri" w:cs="Calibri" w:eastAsia="Calibri" w:hAnsi="Calibri"/>
        <w:b/>
        <w:bCs/>
        <w:color w:val="03353A"/>
        <w:spacing w:val="70"/>
        <w:sz w:val="13"/>
        <w:szCs w:val="13"/>
      </w:rPr>
      <w:t xml:space="preserve">CONFIDENTIAL</w:t>
    </w:r>
    <w:r>
      <w:rPr>
        <w:rFonts w:ascii="Calibri" w:cs="Calibri" w:eastAsia="Calibri" w:hAnsi="Calibri"/>
        <w:color w:val="8A8A8A"/>
        <w:sz w:val="13"/>
        <w:szCs w:val="13"/>
      </w:rPr>
      <w:t xml:space="preserve">    |    [CLIENT LEGAL NAME]    |    [ENGAGEMENT REFERENCE]</w:t>
    </w:r>
    <w:r>
      <w:rPr>
        <w:rFonts w:ascii="Calibri" w:cs="Calibri" w:eastAsia="Calibri" w:hAnsi="Calibri"/>
        <w:sz w:val="13"/>
        <w:szCs w:val="13"/>
      </w:rPr>
      <w:t xml:space="preserve">		</w:t>
    </w:r>
    <w:r>
      <w:rPr>
        <w:rFonts w:ascii="Calibri" w:cs="Calibri" w:eastAsia="Calibri" w:hAnsi="Calibri"/>
        <w:color w:val="8A8A8A"/>
        <w:sz w:val="13"/>
        <w:szCs w:val="13"/>
      </w:rPr>
      <w:t xml:space="preserve">Page </w:t>
    </w:r>
    <w:r>
      <w:rPr>
        <w:rFonts w:ascii="Calibri" w:cs="Calibri" w:eastAsia="Calibri" w:hAnsi="Calibri"/>
        <w:b/>
        <w:bCs/>
        <w:color w:val="03353A"/>
        <w:sz w:val="13"/>
        <w:szCs w:val="13"/>
      </w:rPr>
      <w:fldChar w:fldCharType="begin"/>
      <w:instrText xml:space="preserve">PAGE</w:instrText>
      <w:fldChar w:fldCharType="separate"/>
      <w:fldChar w:fldCharType="end"/>
    </w:r>
    <w:r>
      <w:rPr>
        <w:rFonts w:ascii="Calibri" w:cs="Calibri" w:eastAsia="Calibri" w:hAnsi="Calibri"/>
        <w:color w:val="8A8A8A"/>
        <w:sz w:val="13"/>
        <w:szCs w:val="13"/>
      </w:rPr>
      <w:t xml:space="preserve"> of </w:t>
    </w:r>
    <w:r>
      <w:rPr>
        <w:rFonts w:ascii="Calibri" w:cs="Calibri" w:eastAsia="Calibri" w:hAnsi="Calibri"/>
        <w:color w:val="8A8A8A"/>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auto" w:sz="0"/>
        <w:left w:val="none" w:color="auto" w:sz="0"/>
        <w:bottom w:val="none" w:color="auto" w:sz="0"/>
        <w:right w:val="none" w:color="auto" w:sz="0"/>
        <w:insideH w:val="none" w:color="auto" w:sz="0"/>
        <w:insideV w:val="none" w:color="auto" w:sz="0"/>
      </w:tblBorders>
    </w:tblPr>
    <w:tblGrid>
      <w:gridCol w:w="600"/>
      <w:gridCol w:w="9146"/>
    </w:tblGrid>
    <w:tr>
      <w:tc>
        <w:tcPr>
          <w:tcW w:type="dxa" w:w="600"/>
          <w:tcMar>
            <w:top w:type="dxa" w:w="0"/>
            <w:left w:type="dxa" w:w="0"/>
            <w:bottom w:type="dxa" w:w="0"/>
            <w:right w:type="dxa" w:w="120"/>
          </w:tcMar>
          <w:vAlign w:val="center"/>
        </w:tcPr>
        <w:p>
          <w:pPr>
            <w:spacing w:after="0" w:before="0"/>
          </w:pPr>
          <w:r>
            <w:drawing>
              <wp:inline distT="0" distB="0" distL="0" distR="0">
                <wp:extent cx="2286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38125"/>
                        </a:xfrm>
                        <a:prstGeom prst="rect">
                          <a:avLst/>
                        </a:prstGeom>
                      </pic:spPr>
                    </pic:pic>
                  </a:graphicData>
                </a:graphic>
              </wp:inline>
            </w:drawing>
          </w:r>
        </w:p>
      </w:tc>
      <w:tc>
        <w:tcPr>
          <w:tcW w:type="dxa" w:w="9146"/>
          <w:tcMar>
            <w:top w:type="dxa" w:w="0"/>
            <w:left w:type="dxa" w:w="0"/>
            <w:bottom w:type="dxa" w:w="0"/>
            <w:right w:type="dxa" w:w="0"/>
          </w:tcMar>
          <w:vAlign w:val="center"/>
        </w:tcPr>
        <w:p>
          <w:pPr>
            <w:spacing w:after="0" w:before="0"/>
          </w:pPr>
          <w:r>
            <w:rPr>
              <w:rFonts w:ascii="Calibri" w:cs="Calibri" w:eastAsia="Calibri" w:hAnsi="Calibri"/>
              <w:b/>
              <w:bCs/>
              <w:color w:val="03353A"/>
              <w:spacing w:val="110"/>
              <w:sz w:val="14"/>
              <w:szCs w:val="14"/>
            </w:rPr>
            <w:t xml:space="preserve">MARHANA &amp; CO CONSULTING</w:t>
          </w:r>
          <w:r>
            <w:rPr>
              <w:rFonts w:ascii="Calibri" w:cs="Calibri" w:eastAsia="Calibri" w:hAnsi="Calibri"/>
              <w:color w:val="7A7A7A"/>
              <w:sz w:val="14"/>
              <w:szCs w:val="14"/>
            </w:rPr>
            <w:t xml:space="preserve">    —    Terms of Engagement</w:t>
          </w:r>
        </w:p>
      </w:tc>
    </w:tr>
  </w:tbl>
  <w:p>
    <w:pPr>
      <w:pBdr>
        <w:bottom w:val="single" w:color="03353A" w:sz="6"/>
      </w:pBdr>
      <w:spacing w:after="0" w:before="8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3353A"/>
      </w:rPr>
    </w:lvl>
  </w:abstractNum>
  <w:abstractNum w:abstractNumId="3" w15:restartNumberingAfterBreak="0">
    <w:multiLevelType w:val="hybridMultilevel"/>
    <w:lvl w:ilvl="0" w15:tentative="1">
      <w:start w:val="1"/>
      <w:numFmt w:val="decimal"/>
      <w:lvlText w:val="%1."/>
      <w:lvlJc w:val="left"/>
      <w:pPr>
        <w:ind w:left="400" w:hanging="260"/>
      </w:pPr>
      <w:rPr>
        <w:b/>
        <w:bCs/>
        <w:color w:val="03353A"/>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0e18ec62d49b8c89c8f4012a86b34a5c907c0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2026-09-10T12:49:37.525Z</dcterms:created>
  <dcterms:modified xsi:type="dcterms:W3CDTF">2026-09-10T12:49:37.525Z</dcterms:modified>
</cp:coreProperties>
</file>

<file path=docProps/custom.xml><?xml version="1.0" encoding="utf-8"?>
<Properties xmlns="http://schemas.openxmlformats.org/officeDocument/2006/custom-properties" xmlns:vt="http://schemas.openxmlformats.org/officeDocument/2006/docPropsVTypes"/>
</file>