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43E84E"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b/>
          <w:bCs/>
          <w:kern w:val="0"/>
          <w:lang w:eastAsia="en-GB"/>
          <w14:ligatures w14:val="none"/>
        </w:rPr>
        <w:t>CONFIDENTIAL</w:t>
      </w:r>
    </w:p>
    <w:p w14:paraId="2033D70C" w14:textId="77777777" w:rsidR="00A05E87" w:rsidRPr="00A05E87" w:rsidRDefault="00A05E87" w:rsidP="00A05E8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05E87">
        <w:rPr>
          <w:rFonts w:ascii="Times New Roman" w:eastAsia="Times New Roman" w:hAnsi="Times New Roman" w:cs="Times New Roman"/>
          <w:b/>
          <w:bCs/>
          <w:kern w:val="36"/>
          <w:sz w:val="48"/>
          <w:szCs w:val="48"/>
          <w:lang w:eastAsia="en-GB"/>
          <w14:ligatures w14:val="none"/>
        </w:rPr>
        <w:t>TERMS OF ENGAGEMENT — ADDENDA</w:t>
      </w:r>
    </w:p>
    <w:p w14:paraId="7FCDB19C"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MARHANA &amp; CO CONSULTING LTD</w:t>
      </w:r>
    </w:p>
    <w:p w14:paraId="1123AE1A"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i/>
          <w:iCs/>
          <w:kern w:val="0"/>
          <w:lang w:eastAsia="en-GB"/>
          <w14:ligatures w14:val="none"/>
        </w:rPr>
        <w:t>Part 1: AI and Technology Use Addendum · Part 2: Data Processing Agreement · Part 3: Intellectual Property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A05E87" w:rsidRPr="00A05E87" w14:paraId="653B9195" w14:textId="77777777">
        <w:trPr>
          <w:tblHeader/>
          <w:tblCellSpacing w:w="15" w:type="dxa"/>
        </w:trPr>
        <w:tc>
          <w:tcPr>
            <w:tcW w:w="0" w:type="auto"/>
            <w:vAlign w:val="center"/>
            <w:hideMark/>
          </w:tcPr>
          <w:p w14:paraId="20DADBA9" w14:textId="77777777" w:rsidR="00A05E87" w:rsidRPr="00A05E87" w:rsidRDefault="00A05E87" w:rsidP="00A05E87">
            <w:pPr>
              <w:rPr>
                <w:rFonts w:ascii="Times New Roman" w:eastAsia="Times New Roman" w:hAnsi="Times New Roman" w:cs="Times New Roman"/>
                <w:kern w:val="0"/>
                <w:lang w:eastAsia="en-GB"/>
                <w14:ligatures w14:val="none"/>
              </w:rPr>
            </w:pPr>
          </w:p>
        </w:tc>
        <w:tc>
          <w:tcPr>
            <w:tcW w:w="0" w:type="auto"/>
            <w:vAlign w:val="center"/>
            <w:hideMark/>
          </w:tcPr>
          <w:p w14:paraId="0729AF6D" w14:textId="77777777" w:rsidR="00A05E87" w:rsidRPr="00A05E87" w:rsidRDefault="00A05E87" w:rsidP="00A05E87">
            <w:pPr>
              <w:jc w:val="center"/>
              <w:rPr>
                <w:rFonts w:ascii="Times New Roman" w:eastAsia="Times New Roman" w:hAnsi="Times New Roman" w:cs="Times New Roman"/>
                <w:kern w:val="0"/>
                <w:sz w:val="20"/>
                <w:szCs w:val="20"/>
                <w:lang w:eastAsia="en-GB"/>
                <w14:ligatures w14:val="none"/>
              </w:rPr>
            </w:pPr>
          </w:p>
        </w:tc>
      </w:tr>
      <w:tr w:rsidR="00A05E87" w:rsidRPr="00A05E87" w14:paraId="1C334396" w14:textId="77777777">
        <w:trPr>
          <w:tblCellSpacing w:w="15" w:type="dxa"/>
        </w:trPr>
        <w:tc>
          <w:tcPr>
            <w:tcW w:w="0" w:type="auto"/>
            <w:vAlign w:val="center"/>
            <w:hideMark/>
          </w:tcPr>
          <w:p w14:paraId="394CE8A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b/>
                <w:bCs/>
                <w:kern w:val="0"/>
                <w:lang w:eastAsia="en-GB"/>
                <w14:ligatures w14:val="none"/>
              </w:rPr>
              <w:t>DOCUMENT OWNER</w:t>
            </w:r>
          </w:p>
        </w:tc>
        <w:tc>
          <w:tcPr>
            <w:tcW w:w="0" w:type="auto"/>
            <w:vAlign w:val="center"/>
            <w:hideMark/>
          </w:tcPr>
          <w:p w14:paraId="5687361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[DOCUMENT OWNER NAME], [DOCUMENT OWNER ROLE]</w:t>
            </w:r>
          </w:p>
        </w:tc>
      </w:tr>
      <w:tr w:rsidR="00A05E87" w:rsidRPr="00A05E87" w14:paraId="67FAA07A" w14:textId="77777777">
        <w:trPr>
          <w:tblCellSpacing w:w="15" w:type="dxa"/>
        </w:trPr>
        <w:tc>
          <w:tcPr>
            <w:tcW w:w="0" w:type="auto"/>
            <w:vAlign w:val="center"/>
            <w:hideMark/>
          </w:tcPr>
          <w:p w14:paraId="75B4978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b/>
                <w:bCs/>
                <w:kern w:val="0"/>
                <w:lang w:eastAsia="en-GB"/>
                <w14:ligatures w14:val="none"/>
              </w:rPr>
              <w:t>VERSION</w:t>
            </w:r>
          </w:p>
        </w:tc>
        <w:tc>
          <w:tcPr>
            <w:tcW w:w="0" w:type="auto"/>
            <w:vAlign w:val="center"/>
            <w:hideMark/>
          </w:tcPr>
          <w:p w14:paraId="2C26CFB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[VERSION NUMBER]</w:t>
            </w:r>
          </w:p>
        </w:tc>
      </w:tr>
      <w:tr w:rsidR="00A05E87" w:rsidRPr="00A05E87" w14:paraId="62C1FF65" w14:textId="77777777">
        <w:trPr>
          <w:tblCellSpacing w:w="15" w:type="dxa"/>
        </w:trPr>
        <w:tc>
          <w:tcPr>
            <w:tcW w:w="0" w:type="auto"/>
            <w:vAlign w:val="center"/>
            <w:hideMark/>
          </w:tcPr>
          <w:p w14:paraId="14EB46B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b/>
                <w:bCs/>
                <w:kern w:val="0"/>
                <w:lang w:eastAsia="en-GB"/>
                <w14:ligatures w14:val="none"/>
              </w:rPr>
              <w:t>STATUS</w:t>
            </w:r>
          </w:p>
        </w:tc>
        <w:tc>
          <w:tcPr>
            <w:tcW w:w="0" w:type="auto"/>
            <w:vAlign w:val="center"/>
            <w:hideMark/>
          </w:tcPr>
          <w:p w14:paraId="210548A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476FAAC5"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i/>
          <w:iCs/>
          <w:kern w:val="0"/>
          <w:lang w:eastAsia="en-GB"/>
          <w14:ligatures w14:val="none"/>
        </w:rPr>
        <w:t>Each Part below is incorporated into, and forms part of, the Terms of Engagement of Marhana &amp; Co Consulting Ltd (the "Master Terms"). Defined terms bear the meanings given in the Master Terms. In the event of conflict between a Part and the Master Terms, that Part prevails in respect of its subject matter.</w:t>
      </w:r>
    </w:p>
    <w:p w14:paraId="21F722AE" w14:textId="77777777" w:rsidR="00A05E87" w:rsidRPr="00A05E87" w:rsidRDefault="00873758" w:rsidP="00A05E87">
      <w:pPr>
        <w:rPr>
          <w:rFonts w:ascii="Times New Roman" w:eastAsia="Times New Roman" w:hAnsi="Times New Roman" w:cs="Times New Roman"/>
          <w:kern w:val="0"/>
          <w:lang w:eastAsia="en-GB"/>
          <w14:ligatures w14:val="none"/>
        </w:rPr>
      </w:pPr>
      <w:r w:rsidRPr="00873758">
        <w:rPr>
          <w:rFonts w:ascii="Times New Roman" w:eastAsia="Times New Roman" w:hAnsi="Times New Roman" w:cs="Times New Roman"/>
          <w:noProof/>
          <w:kern w:val="0"/>
          <w:lang w:eastAsia="en-GB"/>
        </w:rPr>
        <w:pict w14:anchorId="2D73146E">
          <v:rect id="_x0000_i1030" alt="" style="width:451.3pt;height:.05pt;mso-width-percent:0;mso-height-percent:0;mso-width-percent:0;mso-height-percent:0" o:hralign="center" o:hrstd="t" o:hr="t" fillcolor="#a0a0a0" stroked="f"/>
        </w:pict>
      </w:r>
    </w:p>
    <w:p w14:paraId="20FA4242" w14:textId="77777777" w:rsidR="00A05E87" w:rsidRPr="00A05E87" w:rsidRDefault="00873758" w:rsidP="00A05E87">
      <w:pPr>
        <w:rPr>
          <w:rFonts w:ascii="Times New Roman" w:eastAsia="Times New Roman" w:hAnsi="Times New Roman" w:cs="Times New Roman"/>
          <w:kern w:val="0"/>
          <w:lang w:eastAsia="en-GB"/>
          <w14:ligatures w14:val="none"/>
        </w:rPr>
      </w:pPr>
      <w:r w:rsidRPr="00873758">
        <w:rPr>
          <w:rFonts w:ascii="Times New Roman" w:eastAsia="Times New Roman" w:hAnsi="Times New Roman" w:cs="Times New Roman"/>
          <w:noProof/>
          <w:kern w:val="0"/>
          <w:lang w:eastAsia="en-GB"/>
        </w:rPr>
        <w:pict w14:anchorId="5B41D654">
          <v:rect id="_x0000_i1029" style="width:0;height:1.5pt" o:hralign="center" o:hrstd="t" o:hr="t" fillcolor="#a0a0a0" stroked="f"/>
        </w:pict>
      </w:r>
    </w:p>
    <w:p w14:paraId="3BCC97AC" w14:textId="77777777" w:rsidR="00A05E87" w:rsidRPr="00A05E87" w:rsidRDefault="00A05E87" w:rsidP="00A05E8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05E87">
        <w:rPr>
          <w:rFonts w:ascii="Times New Roman" w:eastAsia="Times New Roman" w:hAnsi="Times New Roman" w:cs="Times New Roman"/>
          <w:b/>
          <w:bCs/>
          <w:kern w:val="36"/>
          <w:sz w:val="48"/>
          <w:szCs w:val="48"/>
          <w:lang w:eastAsia="en-GB"/>
          <w14:ligatures w14:val="none"/>
        </w:rPr>
        <w:t>PART 1 — AI AND TECHNOLOGY USE ADDENDUM</w:t>
      </w:r>
    </w:p>
    <w:p w14:paraId="32E37614"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1.1 Purpose and status</w:t>
      </w:r>
    </w:p>
    <w:p w14:paraId="5B35B9E0"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1.1.1 This Addendum governs the use by the Consultant of artificial intelligence and other assistive technology in the performance of every Engagement, and records the controls maintained by the Consultant for the purposes of Procurement Policy Note 017 and of the confidentiality obligations owed to Contracting Authorities.</w:t>
      </w:r>
    </w:p>
    <w:p w14:paraId="3728B3B2"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1.1.2 This Addendum applies to every Engagement and may not be disapplied save by written agreement signed by both parties.</w:t>
      </w:r>
    </w:p>
    <w:p w14:paraId="2F828E07"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1.2 Definitions</w:t>
      </w:r>
    </w:p>
    <w:p w14:paraId="3E8F7EA1"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1.2.1 "</w:t>
      </w:r>
      <w:r w:rsidRPr="00A05E87">
        <w:rPr>
          <w:rFonts w:ascii="Times New Roman" w:eastAsia="Times New Roman" w:hAnsi="Times New Roman" w:cs="Times New Roman"/>
          <w:b/>
          <w:bCs/>
          <w:kern w:val="0"/>
          <w:lang w:eastAsia="en-GB"/>
          <w14:ligatures w14:val="none"/>
        </w:rPr>
        <w:t>AI System</w:t>
      </w:r>
      <w:r w:rsidRPr="00A05E87">
        <w:rPr>
          <w:rFonts w:ascii="Times New Roman" w:eastAsia="Times New Roman" w:hAnsi="Times New Roman" w:cs="Times New Roman"/>
          <w:kern w:val="0"/>
          <w:lang w:eastAsia="en-GB"/>
          <w14:ligatures w14:val="none"/>
        </w:rPr>
        <w:t>" means any artificial intelligence system, machine learning model, large language model, generative model or automated decision-making tool, whether hosted by the Consultant, licensed from a third party or accessed as a service.</w:t>
      </w:r>
    </w:p>
    <w:p w14:paraId="21F9C965"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1.2.2 "</w:t>
      </w:r>
      <w:r w:rsidRPr="00A05E87">
        <w:rPr>
          <w:rFonts w:ascii="Times New Roman" w:eastAsia="Times New Roman" w:hAnsi="Times New Roman" w:cs="Times New Roman"/>
          <w:b/>
          <w:bCs/>
          <w:kern w:val="0"/>
          <w:lang w:eastAsia="en-GB"/>
          <w14:ligatures w14:val="none"/>
        </w:rPr>
        <w:t>Approved AI System</w:t>
      </w:r>
      <w:r w:rsidRPr="00A05E87">
        <w:rPr>
          <w:rFonts w:ascii="Times New Roman" w:eastAsia="Times New Roman" w:hAnsi="Times New Roman" w:cs="Times New Roman"/>
          <w:kern w:val="0"/>
          <w:lang w:eastAsia="en-GB"/>
          <w14:ligatures w14:val="none"/>
        </w:rPr>
        <w:t>" means an AI System listed at Annex A to this Part 1, being an AI System in respect of which the Consultant has obtained the contractual assurances specified at paragraph 1.5.1.</w:t>
      </w:r>
    </w:p>
    <w:p w14:paraId="06AFF88B"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1.2.3 "</w:t>
      </w:r>
      <w:r w:rsidRPr="00A05E87">
        <w:rPr>
          <w:rFonts w:ascii="Times New Roman" w:eastAsia="Times New Roman" w:hAnsi="Times New Roman" w:cs="Times New Roman"/>
          <w:b/>
          <w:bCs/>
          <w:kern w:val="0"/>
          <w:lang w:eastAsia="en-GB"/>
          <w14:ligatures w14:val="none"/>
        </w:rPr>
        <w:t>Assistive Use</w:t>
      </w:r>
      <w:r w:rsidRPr="00A05E87">
        <w:rPr>
          <w:rFonts w:ascii="Times New Roman" w:eastAsia="Times New Roman" w:hAnsi="Times New Roman" w:cs="Times New Roman"/>
          <w:kern w:val="0"/>
          <w:lang w:eastAsia="en-GB"/>
          <w14:ligatures w14:val="none"/>
        </w:rPr>
        <w:t>" means the uses described at paragraph 1.3.1.</w:t>
      </w:r>
    </w:p>
    <w:p w14:paraId="27DE9F99"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1.2.4 "</w:t>
      </w:r>
      <w:r w:rsidRPr="00A05E87">
        <w:rPr>
          <w:rFonts w:ascii="Times New Roman" w:eastAsia="Times New Roman" w:hAnsi="Times New Roman" w:cs="Times New Roman"/>
          <w:b/>
          <w:bCs/>
          <w:kern w:val="0"/>
          <w:lang w:eastAsia="en-GB"/>
          <w14:ligatures w14:val="none"/>
        </w:rPr>
        <w:t>Prohibited Input</w:t>
      </w:r>
      <w:r w:rsidRPr="00A05E87">
        <w:rPr>
          <w:rFonts w:ascii="Times New Roman" w:eastAsia="Times New Roman" w:hAnsi="Times New Roman" w:cs="Times New Roman"/>
          <w:kern w:val="0"/>
          <w:lang w:eastAsia="en-GB"/>
          <w14:ligatures w14:val="none"/>
        </w:rPr>
        <w:t>" means any Contracting Authority Information, any Confidential Information of the Client, any personal data, and any material subject to a restriction imposed by a Contracting Authority.</w:t>
      </w:r>
    </w:p>
    <w:p w14:paraId="229D85C7"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1.2.5 "</w:t>
      </w:r>
      <w:r w:rsidRPr="00A05E87">
        <w:rPr>
          <w:rFonts w:ascii="Times New Roman" w:eastAsia="Times New Roman" w:hAnsi="Times New Roman" w:cs="Times New Roman"/>
          <w:b/>
          <w:bCs/>
          <w:kern w:val="0"/>
          <w:lang w:eastAsia="en-GB"/>
          <w14:ligatures w14:val="none"/>
        </w:rPr>
        <w:t>Responsible Principal</w:t>
      </w:r>
      <w:r w:rsidRPr="00A05E87">
        <w:rPr>
          <w:rFonts w:ascii="Times New Roman" w:eastAsia="Times New Roman" w:hAnsi="Times New Roman" w:cs="Times New Roman"/>
          <w:kern w:val="0"/>
          <w:lang w:eastAsia="en-GB"/>
          <w14:ligatures w14:val="none"/>
        </w:rPr>
        <w:t>" means the director of the Consultant having conduct of the relevant Engagement.</w:t>
      </w:r>
    </w:p>
    <w:p w14:paraId="1021EAED"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1.3 Permitted use</w:t>
      </w:r>
    </w:p>
    <w:p w14:paraId="003E5274"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1.3.1 The Consultant may use an Approved AI System solely for:</w:t>
      </w:r>
    </w:p>
    <w:p w14:paraId="71EDE323"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1.3.1.1 the scanning of published procurement portals and the identification of opportunities;</w:t>
      </w:r>
    </w:p>
    <w:p w14:paraId="4E2F9BFE"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1.3.1.2 the extraction of requirements, questions, word limits, weightings and deadlines from published tender documentation into a compliance matrix;</w:t>
      </w:r>
    </w:p>
    <w:p w14:paraId="1380451B"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1.3.1.3 compliance checking of a draft against extracted requirements;</w:t>
      </w:r>
    </w:p>
    <w:p w14:paraId="3AE7CA84"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1.3.1.4 document structuring, formatting and consistency checking;</w:t>
      </w:r>
    </w:p>
    <w:p w14:paraId="6950FC26"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1.3.1.5 grammar, readability and style checking; and</w:t>
      </w:r>
    </w:p>
    <w:p w14:paraId="62E6219B"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1.3.1.6 research into publicly available policy, guidance and sector information.</w:t>
      </w:r>
    </w:p>
    <w:p w14:paraId="31A4356A"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1.3.2 Every use falling outside paragraph 1.3.1 requires the prior written consent of the Client.</w:t>
      </w:r>
    </w:p>
    <w:p w14:paraId="03A1F1E3"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1.4 Human authorship and review</w:t>
      </w:r>
    </w:p>
    <w:p w14:paraId="76C944CA"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1.4.1 All persuasive content, all evidence selection and verification, all substantive narrative, and all final review are conducted by the Responsible Principal. No Deliverable is released in a form generated by an AI System without substantive human authorship and review.</w:t>
      </w:r>
    </w:p>
    <w:p w14:paraId="2260E37C"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1.4.2 The Responsible Principal is accountable for the content of every Deliverable, and the use of any AI System does not transfer, dilute or qualify that accountability.</w:t>
      </w:r>
    </w:p>
    <w:p w14:paraId="7A03C750"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1.4.3 The Consultant does not use any AI System to make or materially inform any decision affecting the Client which produces legal effects or similarly significant effects for any individual.</w:t>
      </w:r>
    </w:p>
    <w:p w14:paraId="7E023BE6"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1.5 Confidentiality and training-data controls</w:t>
      </w:r>
    </w:p>
    <w:p w14:paraId="36C0DFB7"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1.5.1 The Consultant shall not use any AI System in the performance of an Engagement unless the provider of that AI System has given contractual assurance that:</w:t>
      </w:r>
    </w:p>
    <w:p w14:paraId="20533E62"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1.5.1.1 inputs and outputs are excluded from the training, fine-tuning or improvement of any model;</w:t>
      </w:r>
    </w:p>
    <w:p w14:paraId="348CF358"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1.5.1.2 inputs are not retained beyond the period reasonably necessary to return an output, and in any event not beyond [ZERO / THIRTY (30) DAYS];</w:t>
      </w:r>
    </w:p>
    <w:p w14:paraId="1E604439"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1.5.1.3 inputs are not subject to human review by the provider save with express instruction;</w:t>
      </w:r>
    </w:p>
    <w:p w14:paraId="6E25FC98"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1.5.1.4 inputs are not disclosed to any third party save as necessary to deliver the service; and</w:t>
      </w:r>
    </w:p>
    <w:p w14:paraId="425854C5"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1.5.1.5 the data is processed within the United Kingdom or a jurisdiction covered by an adequacy regulation, or subject to an appropriate safeguard within the meaning of the Data Protection Legislation.</w:t>
      </w:r>
    </w:p>
    <w:p w14:paraId="51B8E5A7"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1.5.2 The Consultant shall not input any Prohibited Input into any AI System which is not an Approved AI System, and shall in no circumstances permit any Prohibited Input to be used as training data for any AI System.</w:t>
      </w:r>
    </w:p>
    <w:p w14:paraId="3D4F1A93"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1.5.3 Where a Contracting Authority imposes a restriction upon the use of AI Systems, or upon the disclosure of its documentation to any third party, the Consultant shall observe that restriction in full and shall, where necessary, perform the affected work without recourse to any AI System. The Client shall notify the Consultant in writing of every such restriction before disclosing the relevant material.</w:t>
      </w:r>
    </w:p>
    <w:p w14:paraId="1EBB4A41"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1.5.4 The Consultant shall impose obligations equivalent to this paragraph 1.5 upon every Associate, and shall not permit an Associate to use any AI System other than an Approved AI System.</w:t>
      </w:r>
    </w:p>
    <w:p w14:paraId="121C52B8"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1.5.5 The Consultant shall review Annex A not less frequently than every six (6) months, and upon any material change to the terms of any AI System provider.</w:t>
      </w:r>
    </w:p>
    <w:p w14:paraId="639E0BAC"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1.6 Transparency and disclosure</w:t>
      </w:r>
    </w:p>
    <w:p w14:paraId="4132B37B"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1.6.1 The Consultant shall maintain, for each Engagement, a contemporaneous record of the AI Systems used, the purposes for which they were used, and the categories of material input, sufficient to enable the Client to answer accurately any disclosure question or transparency requirement of a Contracting Authority.</w:t>
      </w:r>
    </w:p>
    <w:p w14:paraId="511C4209"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1.6.2 The Consultant shall supply that record to the Client within five (5) Business Days of written request, and in any event before the Submission Deadline where the Client so requests.</w:t>
      </w:r>
    </w:p>
    <w:p w14:paraId="441E30A1"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1.6.3 Where a Contracting Authority includes a question as to the use of AI in the preparation of a response, the Client shall answer it, and the Consultant shall provide the factual information necessary to enable the Client to do so. The Consultant does not advise upon how any such question should be answered, that being a matter for the Client.</w:t>
      </w:r>
    </w:p>
    <w:p w14:paraId="553C76C4"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1.6.4 The Client acknowledges that the answer given to any such question is the Client's own, that the Client alone signs the declaration containing it, and that the Consultant has no liability for any answer given.</w:t>
      </w:r>
    </w:p>
    <w:p w14:paraId="0BA514B9"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1.7 Client obligations</w:t>
      </w:r>
    </w:p>
    <w:p w14:paraId="5718B6AD"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1.7.1 The Client shall not input any Company Material into any AI System in a manner which permits that material to be used as training data or to be disclosed to any third party.</w:t>
      </w:r>
    </w:p>
    <w:p w14:paraId="6A24F0E6"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1.7.2 Where the Client itself uses an AI System in connection with a Submission, it shall notify the Consultant, and shall be solely responsible for the accuracy of any resulting content and for any disclosure obligation arising.</w:t>
      </w:r>
    </w:p>
    <w:p w14:paraId="263A9088"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1.7.3 The Client shall not represent to any Contracting Authority that a Submission was prepared without the use of assistive technology.</w:t>
      </w:r>
    </w:p>
    <w:p w14:paraId="2FC7773E"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1.8 No warranty and liability</w:t>
      </w:r>
    </w:p>
    <w:p w14:paraId="12364417"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1.8.1 The Consultant gives no warranty as to the output of any AI System, and the Client acknowledges that AI Systems may produce inaccurate, incomplete or fabricated output. The controls at paragraph 1.4 are directed to that risk, but do not eliminate it.</w:t>
      </w:r>
    </w:p>
    <w:p w14:paraId="46DEF388"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1.8.2 The Consultant shall have no liability arising from:</w:t>
      </w:r>
    </w:p>
    <w:p w14:paraId="723185B0"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1.8.2.1 any use by the Client of any AI System;</w:t>
      </w:r>
    </w:p>
    <w:p w14:paraId="70E2B69B"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1.8.2.2 any disclosure obligation which the Client fails to discharge; or</w:t>
      </w:r>
    </w:p>
    <w:p w14:paraId="44845A4F"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1.8.2.3 any change to the policy, guidance or requirements of any Contracting Authority or of the Cabinet Office occurring after the date of a Deliverable.</w:t>
      </w:r>
    </w:p>
    <w:p w14:paraId="2489683C"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1.8.3 Liability under this Part 1 is subject to the limitations at Section F of the Master Terms.</w:t>
      </w:r>
    </w:p>
    <w:p w14:paraId="46708FFA"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ANNEX A — APPROVED AI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1295"/>
        <w:gridCol w:w="1461"/>
        <w:gridCol w:w="1512"/>
        <w:gridCol w:w="1449"/>
        <w:gridCol w:w="1565"/>
        <w:gridCol w:w="1207"/>
      </w:tblGrid>
      <w:tr w:rsidR="00A05E87" w:rsidRPr="00A05E87" w14:paraId="1A641631" w14:textId="77777777">
        <w:trPr>
          <w:tblHeader/>
          <w:tblCellSpacing w:w="15" w:type="dxa"/>
        </w:trPr>
        <w:tc>
          <w:tcPr>
            <w:tcW w:w="0" w:type="auto"/>
            <w:vAlign w:val="center"/>
            <w:hideMark/>
          </w:tcPr>
          <w:p w14:paraId="67503CEA"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REF</w:t>
            </w:r>
          </w:p>
        </w:tc>
        <w:tc>
          <w:tcPr>
            <w:tcW w:w="0" w:type="auto"/>
            <w:vAlign w:val="center"/>
            <w:hideMark/>
          </w:tcPr>
          <w:p w14:paraId="0C3DC7B6"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AI SYSTEM AND PROVIDER</w:t>
            </w:r>
          </w:p>
        </w:tc>
        <w:tc>
          <w:tcPr>
            <w:tcW w:w="0" w:type="auto"/>
            <w:vAlign w:val="center"/>
            <w:hideMark/>
          </w:tcPr>
          <w:p w14:paraId="39233768"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PERMITTED USE</w:t>
            </w:r>
          </w:p>
        </w:tc>
        <w:tc>
          <w:tcPr>
            <w:tcW w:w="0" w:type="auto"/>
            <w:vAlign w:val="center"/>
            <w:hideMark/>
          </w:tcPr>
          <w:p w14:paraId="171163A8"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TRAINING EXCLUSION CONFIRMED</w:t>
            </w:r>
          </w:p>
        </w:tc>
        <w:tc>
          <w:tcPr>
            <w:tcW w:w="0" w:type="auto"/>
            <w:vAlign w:val="center"/>
            <w:hideMark/>
          </w:tcPr>
          <w:p w14:paraId="1128D377"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RETENTION</w:t>
            </w:r>
          </w:p>
        </w:tc>
        <w:tc>
          <w:tcPr>
            <w:tcW w:w="0" w:type="auto"/>
            <w:vAlign w:val="center"/>
            <w:hideMark/>
          </w:tcPr>
          <w:p w14:paraId="66452EE1"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PROCESSING LOCATION</w:t>
            </w:r>
          </w:p>
        </w:tc>
        <w:tc>
          <w:tcPr>
            <w:tcW w:w="0" w:type="auto"/>
            <w:vAlign w:val="center"/>
            <w:hideMark/>
          </w:tcPr>
          <w:p w14:paraId="072465DA"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DATE VERIFIED</w:t>
            </w:r>
          </w:p>
        </w:tc>
      </w:tr>
      <w:tr w:rsidR="00A05E87" w:rsidRPr="00A05E87" w14:paraId="0930AF62" w14:textId="77777777">
        <w:trPr>
          <w:tblCellSpacing w:w="15" w:type="dxa"/>
        </w:trPr>
        <w:tc>
          <w:tcPr>
            <w:tcW w:w="0" w:type="auto"/>
            <w:vAlign w:val="center"/>
            <w:hideMark/>
          </w:tcPr>
          <w:p w14:paraId="0CB41FE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A.1</w:t>
            </w:r>
          </w:p>
        </w:tc>
        <w:tc>
          <w:tcPr>
            <w:tcW w:w="0" w:type="auto"/>
            <w:vAlign w:val="center"/>
            <w:hideMark/>
          </w:tcPr>
          <w:p w14:paraId="7538D36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[PROVIDER AND PRODUCT]</w:t>
            </w:r>
          </w:p>
        </w:tc>
        <w:tc>
          <w:tcPr>
            <w:tcW w:w="0" w:type="auto"/>
            <w:vAlign w:val="center"/>
            <w:hideMark/>
          </w:tcPr>
          <w:p w14:paraId="20132B9A"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[PERMITTED USE BY REFERENCE TO PARAGRAPH 1.3.1]</w:t>
            </w:r>
          </w:p>
        </w:tc>
        <w:tc>
          <w:tcPr>
            <w:tcW w:w="0" w:type="auto"/>
            <w:vAlign w:val="center"/>
            <w:hideMark/>
          </w:tcPr>
          <w:p w14:paraId="1A7C7F4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[YES — CLAUSE REFERENCE]</w:t>
            </w:r>
          </w:p>
        </w:tc>
        <w:tc>
          <w:tcPr>
            <w:tcW w:w="0" w:type="auto"/>
            <w:vAlign w:val="center"/>
            <w:hideMark/>
          </w:tcPr>
          <w:p w14:paraId="352C63F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[ZERO / 30 DAYS]</w:t>
            </w:r>
          </w:p>
        </w:tc>
        <w:tc>
          <w:tcPr>
            <w:tcW w:w="0" w:type="auto"/>
            <w:vAlign w:val="center"/>
            <w:hideMark/>
          </w:tcPr>
          <w:p w14:paraId="03040760"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[UK / EEA / ADEQUACY / SCC]</w:t>
            </w:r>
          </w:p>
        </w:tc>
        <w:tc>
          <w:tcPr>
            <w:tcW w:w="0" w:type="auto"/>
            <w:vAlign w:val="center"/>
            <w:hideMark/>
          </w:tcPr>
          <w:p w14:paraId="4C9B9F0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[DATE]</w:t>
            </w:r>
          </w:p>
        </w:tc>
      </w:tr>
      <w:tr w:rsidR="00A05E87" w:rsidRPr="00A05E87" w14:paraId="64E726B5" w14:textId="77777777">
        <w:trPr>
          <w:tblCellSpacing w:w="15" w:type="dxa"/>
        </w:trPr>
        <w:tc>
          <w:tcPr>
            <w:tcW w:w="0" w:type="auto"/>
            <w:vAlign w:val="center"/>
            <w:hideMark/>
          </w:tcPr>
          <w:p w14:paraId="2BC4F2E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A.2</w:t>
            </w:r>
          </w:p>
        </w:tc>
        <w:tc>
          <w:tcPr>
            <w:tcW w:w="0" w:type="auto"/>
            <w:vAlign w:val="center"/>
            <w:hideMark/>
          </w:tcPr>
          <w:p w14:paraId="3DA8745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[PROVIDER AND PRODUCT]</w:t>
            </w:r>
          </w:p>
        </w:tc>
        <w:tc>
          <w:tcPr>
            <w:tcW w:w="0" w:type="auto"/>
            <w:vAlign w:val="center"/>
            <w:hideMark/>
          </w:tcPr>
          <w:p w14:paraId="0285272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t>
            </w:r>
          </w:p>
        </w:tc>
        <w:tc>
          <w:tcPr>
            <w:tcW w:w="0" w:type="auto"/>
            <w:vAlign w:val="center"/>
            <w:hideMark/>
          </w:tcPr>
          <w:p w14:paraId="493C817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t>
            </w:r>
          </w:p>
        </w:tc>
        <w:tc>
          <w:tcPr>
            <w:tcW w:w="0" w:type="auto"/>
            <w:vAlign w:val="center"/>
            <w:hideMark/>
          </w:tcPr>
          <w:p w14:paraId="313FEB8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t>
            </w:r>
          </w:p>
        </w:tc>
        <w:tc>
          <w:tcPr>
            <w:tcW w:w="0" w:type="auto"/>
            <w:vAlign w:val="center"/>
            <w:hideMark/>
          </w:tcPr>
          <w:p w14:paraId="7C3B927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t>
            </w:r>
          </w:p>
        </w:tc>
        <w:tc>
          <w:tcPr>
            <w:tcW w:w="0" w:type="auto"/>
            <w:vAlign w:val="center"/>
            <w:hideMark/>
          </w:tcPr>
          <w:p w14:paraId="146E420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[DATE]</w:t>
            </w:r>
          </w:p>
        </w:tc>
      </w:tr>
      <w:tr w:rsidR="00A05E87" w:rsidRPr="00A05E87" w14:paraId="160B330A" w14:textId="77777777">
        <w:trPr>
          <w:tblCellSpacing w:w="15" w:type="dxa"/>
        </w:trPr>
        <w:tc>
          <w:tcPr>
            <w:tcW w:w="0" w:type="auto"/>
            <w:vAlign w:val="center"/>
            <w:hideMark/>
          </w:tcPr>
          <w:p w14:paraId="12C4E1B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A.3</w:t>
            </w:r>
          </w:p>
        </w:tc>
        <w:tc>
          <w:tcPr>
            <w:tcW w:w="0" w:type="auto"/>
            <w:vAlign w:val="center"/>
            <w:hideMark/>
          </w:tcPr>
          <w:p w14:paraId="261516C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[PROVIDER AND PRODUCT]</w:t>
            </w:r>
          </w:p>
        </w:tc>
        <w:tc>
          <w:tcPr>
            <w:tcW w:w="0" w:type="auto"/>
            <w:vAlign w:val="center"/>
            <w:hideMark/>
          </w:tcPr>
          <w:p w14:paraId="1216D710"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t>
            </w:r>
          </w:p>
        </w:tc>
        <w:tc>
          <w:tcPr>
            <w:tcW w:w="0" w:type="auto"/>
            <w:vAlign w:val="center"/>
            <w:hideMark/>
          </w:tcPr>
          <w:p w14:paraId="1145385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t>
            </w:r>
          </w:p>
        </w:tc>
        <w:tc>
          <w:tcPr>
            <w:tcW w:w="0" w:type="auto"/>
            <w:vAlign w:val="center"/>
            <w:hideMark/>
          </w:tcPr>
          <w:p w14:paraId="278F059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t>
            </w:r>
          </w:p>
        </w:tc>
        <w:tc>
          <w:tcPr>
            <w:tcW w:w="0" w:type="auto"/>
            <w:vAlign w:val="center"/>
            <w:hideMark/>
          </w:tcPr>
          <w:p w14:paraId="34D5931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t>
            </w:r>
          </w:p>
        </w:tc>
        <w:tc>
          <w:tcPr>
            <w:tcW w:w="0" w:type="auto"/>
            <w:vAlign w:val="center"/>
            <w:hideMark/>
          </w:tcPr>
          <w:p w14:paraId="0077FC00"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[DATE]</w:t>
            </w:r>
          </w:p>
        </w:tc>
      </w:tr>
    </w:tbl>
    <w:p w14:paraId="46B1D276" w14:textId="77777777" w:rsidR="00A05E87" w:rsidRPr="00A05E87" w:rsidRDefault="00873758" w:rsidP="00A05E87">
      <w:pPr>
        <w:rPr>
          <w:rFonts w:ascii="Times New Roman" w:eastAsia="Times New Roman" w:hAnsi="Times New Roman" w:cs="Times New Roman"/>
          <w:kern w:val="0"/>
          <w:lang w:eastAsia="en-GB"/>
          <w14:ligatures w14:val="none"/>
        </w:rPr>
      </w:pPr>
      <w:r w:rsidRPr="00873758">
        <w:rPr>
          <w:rFonts w:ascii="Times New Roman" w:eastAsia="Times New Roman" w:hAnsi="Times New Roman" w:cs="Times New Roman"/>
          <w:noProof/>
          <w:kern w:val="0"/>
          <w:lang w:eastAsia="en-GB"/>
        </w:rPr>
        <w:pict w14:anchorId="0889D71D">
          <v:rect id="_x0000_i1028" alt="" style="width:451.3pt;height:.05pt;mso-width-percent:0;mso-height-percent:0;mso-width-percent:0;mso-height-percent:0" o:hralign="center" o:hrstd="t" o:hr="t" fillcolor="#a0a0a0" stroked="f"/>
        </w:pict>
      </w:r>
    </w:p>
    <w:p w14:paraId="2EE3D751" w14:textId="77777777" w:rsidR="00A05E87" w:rsidRPr="00A05E87" w:rsidRDefault="00873758" w:rsidP="00A05E87">
      <w:pPr>
        <w:rPr>
          <w:rFonts w:ascii="Times New Roman" w:eastAsia="Times New Roman" w:hAnsi="Times New Roman" w:cs="Times New Roman"/>
          <w:kern w:val="0"/>
          <w:lang w:eastAsia="en-GB"/>
          <w14:ligatures w14:val="none"/>
        </w:rPr>
      </w:pPr>
      <w:r w:rsidRPr="00873758">
        <w:rPr>
          <w:rFonts w:ascii="Times New Roman" w:eastAsia="Times New Roman" w:hAnsi="Times New Roman" w:cs="Times New Roman"/>
          <w:noProof/>
          <w:kern w:val="0"/>
          <w:lang w:eastAsia="en-GB"/>
        </w:rPr>
        <w:pict w14:anchorId="1D50C5BC">
          <v:rect id="_x0000_i1027" style="width:0;height:1.5pt" o:hralign="center" o:hrstd="t" o:hr="t" fillcolor="#a0a0a0" stroked="f"/>
        </w:pict>
      </w:r>
    </w:p>
    <w:p w14:paraId="75C80382" w14:textId="77777777" w:rsidR="00A05E87" w:rsidRPr="00A05E87" w:rsidRDefault="00A05E87" w:rsidP="00A05E8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05E87">
        <w:rPr>
          <w:rFonts w:ascii="Times New Roman" w:eastAsia="Times New Roman" w:hAnsi="Times New Roman" w:cs="Times New Roman"/>
          <w:b/>
          <w:bCs/>
          <w:kern w:val="36"/>
          <w:sz w:val="48"/>
          <w:szCs w:val="48"/>
          <w:lang w:eastAsia="en-GB"/>
          <w14:ligatures w14:val="none"/>
        </w:rPr>
        <w:t>PART 2 — DATA PROCESSING AGREEMENT</w:t>
      </w:r>
    </w:p>
    <w:p w14:paraId="153B7E34"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i/>
          <w:iCs/>
          <w:kern w:val="0"/>
          <w:lang w:eastAsia="en-GB"/>
          <w14:ligatures w14:val="none"/>
        </w:rPr>
        <w:t>(Article 28 UK GDPR — the Client as controller, the Consultant as processor)</w:t>
      </w:r>
    </w:p>
    <w:p w14:paraId="26653AA1"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2.1 Status and scope</w:t>
      </w:r>
    </w:p>
    <w:p w14:paraId="1486ECA3"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2.1.1 This Part 2 applies whenever the Consultant processes personal data on behalf of the Client, and constitutes the written contract required by Article 28(3) of the UK GDPR.</w:t>
      </w:r>
    </w:p>
    <w:p w14:paraId="1730DAE5"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2.1.2 The Client is the controller and the Consultant is the processor in respect of the personal data described at Annex B. The parties are not joint controllers.</w:t>
      </w:r>
    </w:p>
    <w:p w14:paraId="484A4714"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2.1.3 In respect of the personal data of the Client's own contacts processed by the Consultant for client relationship management, invoicing, marketing and record-keeping, the Consultant acts as an independent controller and this Part 2 does not apply.</w:t>
      </w:r>
    </w:p>
    <w:p w14:paraId="64959378"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2.2 Obligations of the Consultant as processor</w:t>
      </w:r>
    </w:p>
    <w:p w14:paraId="59474E31"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2.2.1 The Consultant shall process the personal data only on the documented written instructions of the Client, including as to transfers outside the United Kingdom, save where required to process by law, in which case it shall inform the Client of that requirement before processing unless the law prohibits it. The Master Terms, this Part 2 and each Engagement Instruction constitute the Client's initial documented instructions.</w:t>
      </w:r>
    </w:p>
    <w:p w14:paraId="1F8F8159"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2.2.2 The Consultant shall immediately inform the Client if, in its opinion, an instruction infringes the Data Protection Legislation.</w:t>
      </w:r>
    </w:p>
    <w:p w14:paraId="5F61FB1D"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2.2.3 The Consultant shall ensure that every person authorised to process the personal data is subject to a binding duty of confidence and has received appropriate training.</w:t>
      </w:r>
    </w:p>
    <w:p w14:paraId="4CEB61D3"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2.2.4 The Consultant shall implement and maintain the technical and organisational measures described at Annex C, being measures appropriate to the risk having regard to the state of the art, the costs of implementation and the nature, scope, context and purposes of the processing.</w:t>
      </w:r>
    </w:p>
    <w:p w14:paraId="7D14B0C4"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2.2.5 The Consultant shall not engage a sub-processor without the prior general written authorisation of the Client. The Client hereby gives general authorisation in respect of the sub-processors listed at Annex B, paragraph 7. The Consultant shall give the Client not less than fourteen (14) days' written notice of the intended addition or replacement of any sub-processor, during which the Client may object on reasonable grounds relating to data protection. Where the Client objects and the parties cannot agree an alternative, either party may terminate the affected Engagement, and the Client shall remain liable for Fees for work performed.</w:t>
      </w:r>
    </w:p>
    <w:p w14:paraId="1DCE5C98"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2.2.6 The Consultant shall impose upon every sub-processor, by written contract, obligations equivalent to those in this Part 2, and shall remain fully liable to the Client for the performance of every sub-processor's obligations.</w:t>
      </w:r>
    </w:p>
    <w:p w14:paraId="10C303C5"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2.2.7 The Consultant shall not transfer personal data outside the United Kingdom save where an adequacy regulation applies or an appropriate safeguard within the meaning of the Data Protection Legislation is in place, and shall record the safeguard relied upon at Annex B, paragraph 8.</w:t>
      </w:r>
    </w:p>
    <w:p w14:paraId="24745A29"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2.2.8 Taking into account the nature of the processing, the Consultant shall assist the Client by appropriate technical and organisational measures, insofar as possible, in fulfilling the Client's obligation to respond to requests for the exercise of data subject rights. The Consultant shall notify the Client within three (3) Business Days of receiving any such request and shall not respond to it save on the Client's instruction.</w:t>
      </w:r>
    </w:p>
    <w:p w14:paraId="1EB39636"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2.2.9 The Consultant shall assist the Client in ensuring compliance with Articles 32 to 36 of the UK GDPR, taking into account the nature of the processing and the information available to it.</w:t>
      </w:r>
    </w:p>
    <w:p w14:paraId="6A965BBF"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2.2.10 The Consultant shall notify the Client without undue delay, and in any event within forty-eight (48) hours, upon becoming aware of any personal data breach affecting the personal data, and shall provide: a description of the nature of the breach, the categories and approximate number of data subjects and records concerned, the likely consequences, the measures taken or proposed, and the name and contact details of a point of contact. The Consultant shall not notify the Information Commissioner's Office or any data subject on the Client's behalf save on the Client's written instruction.</w:t>
      </w:r>
    </w:p>
    <w:p w14:paraId="254AAF31"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2.2.11 At the written direction of the Client given within thirty (30) days of the end of the provision of services, the Consultant shall delete or return all personal data and delete existing copies, save to the extent that retention is required by law or is permitted by paragraph G.5.1 of the Master Terms for the purposes of professional indemnity insurance and the defence of claims, in which case the personal data shall remain subject to this Part 2.</w:t>
      </w:r>
    </w:p>
    <w:p w14:paraId="3D2FA77E"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 xml:space="preserve">2.2.12 The Consultant shall make available to the Client all information necessary to demonstrate compliance with Article 28 and shall allow for and contribute to audits, including inspections, conducted by the Client or an auditor mandated by it, upon not less than fourteen (14) days' written notice, during normal business hours, not more than once in </w:t>
      </w:r>
      <w:r w:rsidRPr="00A05E87">
        <w:rPr>
          <w:rFonts w:ascii="Times New Roman" w:eastAsia="Times New Roman" w:hAnsi="Times New Roman" w:cs="Times New Roman"/>
          <w:kern w:val="0"/>
          <w:lang w:eastAsia="en-GB"/>
          <w14:ligatures w14:val="none"/>
        </w:rPr>
        <w:lastRenderedPageBreak/>
        <w:t>any twelve (12) month period (save following a personal data breach), and subject to the auditor executing reasonable confidentiality undertakings. The Client shall bear the cost of any audit and shall reimburse the Consultant's reasonable costs of assistance at its then prevailing rates.</w:t>
      </w:r>
    </w:p>
    <w:p w14:paraId="68396B8E"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2.2.13 The Consultant shall maintain a record of processing carried out on behalf of the Client in accordance with Article 30(2).</w:t>
      </w:r>
    </w:p>
    <w:p w14:paraId="7DE01E2B"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2.3 Obligations of the Client as controller</w:t>
      </w:r>
    </w:p>
    <w:p w14:paraId="19F253EE"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2.3.1 The Client warrants that it has and shall maintain a lawful basis for all processing instructed, that it has provided all privacy information required by Articles 13 and 14, that it has obtained every consent required, and that its instructions shall not cause the Consultant to breach the Data Protection Legislation.</w:t>
      </w:r>
    </w:p>
    <w:p w14:paraId="008A9221"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2.3.2 The Client shall not instruct the processing of special category personal data or criminal offence data unless the same is expressly recorded at Annex B, paragraph 6, and the parties have agreed the additional safeguards to apply.</w:t>
      </w:r>
    </w:p>
    <w:p w14:paraId="5F14A619"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2.3.3 The Client shall supply personal data by secure means designated by the Consultant, shall minimise the personal data supplied to that which is necessary, and shall redact personal data which is not required for the Submission.</w:t>
      </w:r>
    </w:p>
    <w:p w14:paraId="3634EA12"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2.4 Liability and indemnity</w:t>
      </w:r>
    </w:p>
    <w:p w14:paraId="27048371"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2.4.1 Each party shall indemnify the other against any administrative fine, penalty or compensation award imposed upon or made against it to the extent attributable to the indemnifying party's own breach of the Data Protection Legislation or of this Part 2.</w:t>
      </w:r>
    </w:p>
    <w:p w14:paraId="733343CA"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2.4.2 Save in respect of paragraph 2.4.1 and of any liability which cannot lawfully be limited, liability under this Part 2 is subject to the cap at paragraph F.4 of the Master Terms.</w:t>
      </w:r>
    </w:p>
    <w:p w14:paraId="10BC9000"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2.5 Duration</w:t>
      </w:r>
    </w:p>
    <w:p w14:paraId="2CED0DF8"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2.5.1 This Part 2 continues for so long as the Consultant processes personal data on behalf of the Client, and thereafter for so long as any personal data is retained under paragraph 2.2.11.</w:t>
      </w:r>
    </w:p>
    <w:p w14:paraId="1D3D9EE4"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ANNEX B — PROCESSING PARTICULARS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36"/>
        <w:gridCol w:w="6635"/>
      </w:tblGrid>
      <w:tr w:rsidR="00A05E87" w:rsidRPr="00A05E87" w14:paraId="722E5BD9" w14:textId="77777777">
        <w:trPr>
          <w:tblHeader/>
          <w:tblCellSpacing w:w="15" w:type="dxa"/>
        </w:trPr>
        <w:tc>
          <w:tcPr>
            <w:tcW w:w="0" w:type="auto"/>
            <w:vAlign w:val="center"/>
            <w:hideMark/>
          </w:tcPr>
          <w:p w14:paraId="6005425B"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REF</w:t>
            </w:r>
          </w:p>
        </w:tc>
        <w:tc>
          <w:tcPr>
            <w:tcW w:w="0" w:type="auto"/>
            <w:vAlign w:val="center"/>
            <w:hideMark/>
          </w:tcPr>
          <w:p w14:paraId="44CF795F"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ITEM</w:t>
            </w:r>
          </w:p>
        </w:tc>
        <w:tc>
          <w:tcPr>
            <w:tcW w:w="0" w:type="auto"/>
            <w:vAlign w:val="center"/>
            <w:hideMark/>
          </w:tcPr>
          <w:p w14:paraId="667002F5"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ENTRY</w:t>
            </w:r>
          </w:p>
        </w:tc>
      </w:tr>
      <w:tr w:rsidR="00A05E87" w:rsidRPr="00A05E87" w14:paraId="4E249391" w14:textId="77777777">
        <w:trPr>
          <w:tblCellSpacing w:w="15" w:type="dxa"/>
        </w:trPr>
        <w:tc>
          <w:tcPr>
            <w:tcW w:w="0" w:type="auto"/>
            <w:vAlign w:val="center"/>
            <w:hideMark/>
          </w:tcPr>
          <w:p w14:paraId="778694C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w:t>
            </w:r>
          </w:p>
        </w:tc>
        <w:tc>
          <w:tcPr>
            <w:tcW w:w="0" w:type="auto"/>
            <w:vAlign w:val="center"/>
            <w:hideMark/>
          </w:tcPr>
          <w:p w14:paraId="0106ADBA"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Subject matter</w:t>
            </w:r>
          </w:p>
        </w:tc>
        <w:tc>
          <w:tcPr>
            <w:tcW w:w="0" w:type="auto"/>
            <w:vAlign w:val="center"/>
            <w:hideMark/>
          </w:tcPr>
          <w:p w14:paraId="78436FCA"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The preparation of the Deliverables and the Submission under the Engagement</w:t>
            </w:r>
          </w:p>
        </w:tc>
      </w:tr>
      <w:tr w:rsidR="00A05E87" w:rsidRPr="00A05E87" w14:paraId="53291CA9" w14:textId="77777777">
        <w:trPr>
          <w:tblCellSpacing w:w="15" w:type="dxa"/>
        </w:trPr>
        <w:tc>
          <w:tcPr>
            <w:tcW w:w="0" w:type="auto"/>
            <w:vAlign w:val="center"/>
            <w:hideMark/>
          </w:tcPr>
          <w:p w14:paraId="6C3DF85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2</w:t>
            </w:r>
          </w:p>
        </w:tc>
        <w:tc>
          <w:tcPr>
            <w:tcW w:w="0" w:type="auto"/>
            <w:vAlign w:val="center"/>
            <w:hideMark/>
          </w:tcPr>
          <w:p w14:paraId="206E0E0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Duration</w:t>
            </w:r>
          </w:p>
        </w:tc>
        <w:tc>
          <w:tcPr>
            <w:tcW w:w="0" w:type="auto"/>
            <w:vAlign w:val="center"/>
            <w:hideMark/>
          </w:tcPr>
          <w:p w14:paraId="391E1C1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The term of the Engagement, together with the retention period at paragraph G.5 of the Master Terms</w:t>
            </w:r>
          </w:p>
        </w:tc>
      </w:tr>
      <w:tr w:rsidR="00A05E87" w:rsidRPr="00A05E87" w14:paraId="71112C76" w14:textId="77777777">
        <w:trPr>
          <w:tblCellSpacing w:w="15" w:type="dxa"/>
        </w:trPr>
        <w:tc>
          <w:tcPr>
            <w:tcW w:w="0" w:type="auto"/>
            <w:vAlign w:val="center"/>
            <w:hideMark/>
          </w:tcPr>
          <w:p w14:paraId="6B3D6BF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w:t>
            </w:r>
          </w:p>
        </w:tc>
        <w:tc>
          <w:tcPr>
            <w:tcW w:w="0" w:type="auto"/>
            <w:vAlign w:val="center"/>
            <w:hideMark/>
          </w:tcPr>
          <w:p w14:paraId="2E63C42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Nature and purpose</w:t>
            </w:r>
          </w:p>
        </w:tc>
        <w:tc>
          <w:tcPr>
            <w:tcW w:w="0" w:type="auto"/>
            <w:vAlign w:val="center"/>
            <w:hideMark/>
          </w:tcPr>
          <w:p w14:paraId="446851A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Collection, recording, organisation, structuring, storage, adaptation, retrieval, consultation, use and erasure of personal data for the purpose of authoring, reviewing and evidencing the Submission</w:t>
            </w:r>
          </w:p>
        </w:tc>
      </w:tr>
      <w:tr w:rsidR="00A05E87" w:rsidRPr="00A05E87" w14:paraId="0A174BFF" w14:textId="77777777">
        <w:trPr>
          <w:tblCellSpacing w:w="15" w:type="dxa"/>
        </w:trPr>
        <w:tc>
          <w:tcPr>
            <w:tcW w:w="0" w:type="auto"/>
            <w:vAlign w:val="center"/>
            <w:hideMark/>
          </w:tcPr>
          <w:p w14:paraId="3AE39EE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4</w:t>
            </w:r>
          </w:p>
        </w:tc>
        <w:tc>
          <w:tcPr>
            <w:tcW w:w="0" w:type="auto"/>
            <w:vAlign w:val="center"/>
            <w:hideMark/>
          </w:tcPr>
          <w:p w14:paraId="4954F83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Types of personal data</w:t>
            </w:r>
          </w:p>
        </w:tc>
        <w:tc>
          <w:tcPr>
            <w:tcW w:w="0" w:type="auto"/>
            <w:vAlign w:val="center"/>
            <w:hideMark/>
          </w:tcPr>
          <w:p w14:paraId="5BC4059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Names; job titles; professional qualifications and certifications; employment and training history; curricula vitae; referee names and contact details; business contact details; [FURTHER CATEGORIES]</w:t>
            </w:r>
          </w:p>
        </w:tc>
      </w:tr>
      <w:tr w:rsidR="00A05E87" w:rsidRPr="00A05E87" w14:paraId="5691167E" w14:textId="77777777">
        <w:trPr>
          <w:tblCellSpacing w:w="15" w:type="dxa"/>
        </w:trPr>
        <w:tc>
          <w:tcPr>
            <w:tcW w:w="0" w:type="auto"/>
            <w:vAlign w:val="center"/>
            <w:hideMark/>
          </w:tcPr>
          <w:p w14:paraId="3ACB3CD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5</w:t>
            </w:r>
          </w:p>
        </w:tc>
        <w:tc>
          <w:tcPr>
            <w:tcW w:w="0" w:type="auto"/>
            <w:vAlign w:val="center"/>
            <w:hideMark/>
          </w:tcPr>
          <w:p w14:paraId="21E90D3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Categories of data subject</w:t>
            </w:r>
          </w:p>
        </w:tc>
        <w:tc>
          <w:tcPr>
            <w:tcW w:w="0" w:type="auto"/>
            <w:vAlign w:val="center"/>
            <w:hideMark/>
          </w:tcPr>
          <w:p w14:paraId="04AC06E4"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Employees, officers, sub-contractors, referees and nominated personnel of the Client; named contacts of the Client's customers; [FURTHER CATEGORIES]</w:t>
            </w:r>
          </w:p>
        </w:tc>
      </w:tr>
      <w:tr w:rsidR="00A05E87" w:rsidRPr="00A05E87" w14:paraId="2EE52690" w14:textId="77777777">
        <w:trPr>
          <w:tblCellSpacing w:w="15" w:type="dxa"/>
        </w:trPr>
        <w:tc>
          <w:tcPr>
            <w:tcW w:w="0" w:type="auto"/>
            <w:vAlign w:val="center"/>
            <w:hideMark/>
          </w:tcPr>
          <w:p w14:paraId="1718CC6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6</w:t>
            </w:r>
          </w:p>
        </w:tc>
        <w:tc>
          <w:tcPr>
            <w:tcW w:w="0" w:type="auto"/>
            <w:vAlign w:val="center"/>
            <w:hideMark/>
          </w:tcPr>
          <w:p w14:paraId="2D670D3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Special category / criminal offence data</w:t>
            </w:r>
          </w:p>
        </w:tc>
        <w:tc>
          <w:tcPr>
            <w:tcW w:w="0" w:type="auto"/>
            <w:vAlign w:val="center"/>
            <w:hideMark/>
          </w:tcPr>
          <w:p w14:paraId="657404B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[NONE / SPECIFY CATEGORY, LAWFUL BASIS UNDER ARTICLE 9 OR 10, AND ADDITIONAL SAFEGUARDS]</w:t>
            </w:r>
          </w:p>
        </w:tc>
      </w:tr>
      <w:tr w:rsidR="00A05E87" w:rsidRPr="00A05E87" w14:paraId="6C1D65FB" w14:textId="77777777">
        <w:trPr>
          <w:tblCellSpacing w:w="15" w:type="dxa"/>
        </w:trPr>
        <w:tc>
          <w:tcPr>
            <w:tcW w:w="0" w:type="auto"/>
            <w:vAlign w:val="center"/>
            <w:hideMark/>
          </w:tcPr>
          <w:p w14:paraId="28052C7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7</w:t>
            </w:r>
          </w:p>
        </w:tc>
        <w:tc>
          <w:tcPr>
            <w:tcW w:w="0" w:type="auto"/>
            <w:vAlign w:val="center"/>
            <w:hideMark/>
          </w:tcPr>
          <w:p w14:paraId="6988B0D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Authorised sub-processors</w:t>
            </w:r>
          </w:p>
        </w:tc>
        <w:tc>
          <w:tcPr>
            <w:tcW w:w="0" w:type="auto"/>
            <w:vAlign w:val="center"/>
            <w:hideMark/>
          </w:tcPr>
          <w:p w14:paraId="3BF61F5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Associates engaged under written associate agreements; [CLOUD STORAGE PROVIDER]; [DOCUMENT COLLABORATION PROVIDER]; [EMAIL PROVIDER]; [BACKUP PROVIDER]; Approved AI Systems listed at Part 1, Annex A</w:t>
            </w:r>
          </w:p>
        </w:tc>
      </w:tr>
      <w:tr w:rsidR="00A05E87" w:rsidRPr="00A05E87" w14:paraId="4AA1F8AD" w14:textId="77777777">
        <w:trPr>
          <w:tblCellSpacing w:w="15" w:type="dxa"/>
        </w:trPr>
        <w:tc>
          <w:tcPr>
            <w:tcW w:w="0" w:type="auto"/>
            <w:vAlign w:val="center"/>
            <w:hideMark/>
          </w:tcPr>
          <w:p w14:paraId="3EDE476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8</w:t>
            </w:r>
          </w:p>
        </w:tc>
        <w:tc>
          <w:tcPr>
            <w:tcW w:w="0" w:type="auto"/>
            <w:vAlign w:val="center"/>
            <w:hideMark/>
          </w:tcPr>
          <w:p w14:paraId="7066A9A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International transfers and safeguard</w:t>
            </w:r>
          </w:p>
        </w:tc>
        <w:tc>
          <w:tcPr>
            <w:tcW w:w="0" w:type="auto"/>
            <w:vAlign w:val="center"/>
            <w:hideMark/>
          </w:tcPr>
          <w:p w14:paraId="2D87B7C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[NONE / PROVIDER, COUNTRY, SAFEGUARD RELIED UPON, DATE OF TRANSFER RISK ASSESSMENT]</w:t>
            </w:r>
          </w:p>
        </w:tc>
      </w:tr>
      <w:tr w:rsidR="00A05E87" w:rsidRPr="00A05E87" w14:paraId="642B56AD" w14:textId="77777777">
        <w:trPr>
          <w:tblCellSpacing w:w="15" w:type="dxa"/>
        </w:trPr>
        <w:tc>
          <w:tcPr>
            <w:tcW w:w="0" w:type="auto"/>
            <w:vAlign w:val="center"/>
            <w:hideMark/>
          </w:tcPr>
          <w:p w14:paraId="42CDE535"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9</w:t>
            </w:r>
          </w:p>
        </w:tc>
        <w:tc>
          <w:tcPr>
            <w:tcW w:w="0" w:type="auto"/>
            <w:vAlign w:val="center"/>
            <w:hideMark/>
          </w:tcPr>
          <w:p w14:paraId="6FDEEC5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Deletion or return</w:t>
            </w:r>
          </w:p>
        </w:tc>
        <w:tc>
          <w:tcPr>
            <w:tcW w:w="0" w:type="auto"/>
            <w:vAlign w:val="center"/>
            <w:hideMark/>
          </w:tcPr>
          <w:p w14:paraId="561E518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Deletion on written direction, save as retained under paragraph 2.2.11</w:t>
            </w:r>
          </w:p>
        </w:tc>
      </w:tr>
      <w:tr w:rsidR="00A05E87" w:rsidRPr="00A05E87" w14:paraId="66E26606" w14:textId="77777777">
        <w:trPr>
          <w:tblCellSpacing w:w="15" w:type="dxa"/>
        </w:trPr>
        <w:tc>
          <w:tcPr>
            <w:tcW w:w="0" w:type="auto"/>
            <w:vAlign w:val="center"/>
            <w:hideMark/>
          </w:tcPr>
          <w:p w14:paraId="6DA91D7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10</w:t>
            </w:r>
          </w:p>
        </w:tc>
        <w:tc>
          <w:tcPr>
            <w:tcW w:w="0" w:type="auto"/>
            <w:vAlign w:val="center"/>
            <w:hideMark/>
          </w:tcPr>
          <w:p w14:paraId="0BDD1AC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Client's data protection contact</w:t>
            </w:r>
          </w:p>
        </w:tc>
        <w:tc>
          <w:tcPr>
            <w:tcW w:w="0" w:type="auto"/>
            <w:vAlign w:val="center"/>
            <w:hideMark/>
          </w:tcPr>
          <w:p w14:paraId="3C5A14F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[NAME, ROLE, EMAIL]</w:t>
            </w:r>
          </w:p>
        </w:tc>
      </w:tr>
      <w:tr w:rsidR="00A05E87" w:rsidRPr="00A05E87" w14:paraId="5EEAB84C" w14:textId="77777777">
        <w:trPr>
          <w:tblCellSpacing w:w="15" w:type="dxa"/>
        </w:trPr>
        <w:tc>
          <w:tcPr>
            <w:tcW w:w="0" w:type="auto"/>
            <w:vAlign w:val="center"/>
            <w:hideMark/>
          </w:tcPr>
          <w:p w14:paraId="1670D36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11</w:t>
            </w:r>
          </w:p>
        </w:tc>
        <w:tc>
          <w:tcPr>
            <w:tcW w:w="0" w:type="auto"/>
            <w:vAlign w:val="center"/>
            <w:hideMark/>
          </w:tcPr>
          <w:p w14:paraId="016B5E2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Consultant's data protection contact</w:t>
            </w:r>
          </w:p>
        </w:tc>
        <w:tc>
          <w:tcPr>
            <w:tcW w:w="0" w:type="auto"/>
            <w:vAlign w:val="center"/>
            <w:hideMark/>
          </w:tcPr>
          <w:p w14:paraId="0F08C7E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[NAME, ROLE, EMAIL]</w:t>
            </w:r>
          </w:p>
        </w:tc>
      </w:tr>
    </w:tbl>
    <w:p w14:paraId="6DAD21D9"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ANNEX C — TECHNICAL AND ORGANISATIONAL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772"/>
        <w:gridCol w:w="6699"/>
      </w:tblGrid>
      <w:tr w:rsidR="00A05E87" w:rsidRPr="00A05E87" w14:paraId="08C57A42" w14:textId="77777777">
        <w:trPr>
          <w:tblHeader/>
          <w:tblCellSpacing w:w="15" w:type="dxa"/>
        </w:trPr>
        <w:tc>
          <w:tcPr>
            <w:tcW w:w="0" w:type="auto"/>
            <w:vAlign w:val="center"/>
            <w:hideMark/>
          </w:tcPr>
          <w:p w14:paraId="25F86916"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REF</w:t>
            </w:r>
          </w:p>
        </w:tc>
        <w:tc>
          <w:tcPr>
            <w:tcW w:w="0" w:type="auto"/>
            <w:vAlign w:val="center"/>
            <w:hideMark/>
          </w:tcPr>
          <w:p w14:paraId="45E43002"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CONTROL</w:t>
            </w:r>
          </w:p>
        </w:tc>
        <w:tc>
          <w:tcPr>
            <w:tcW w:w="0" w:type="auto"/>
            <w:vAlign w:val="center"/>
            <w:hideMark/>
          </w:tcPr>
          <w:p w14:paraId="5E128D59"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MEASURE</w:t>
            </w:r>
          </w:p>
        </w:tc>
      </w:tr>
      <w:tr w:rsidR="00A05E87" w:rsidRPr="00A05E87" w14:paraId="798FAFC0" w14:textId="77777777">
        <w:trPr>
          <w:tblCellSpacing w:w="15" w:type="dxa"/>
        </w:trPr>
        <w:tc>
          <w:tcPr>
            <w:tcW w:w="0" w:type="auto"/>
            <w:vAlign w:val="center"/>
            <w:hideMark/>
          </w:tcPr>
          <w:p w14:paraId="1AEFF12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C.1</w:t>
            </w:r>
          </w:p>
        </w:tc>
        <w:tc>
          <w:tcPr>
            <w:tcW w:w="0" w:type="auto"/>
            <w:vAlign w:val="center"/>
            <w:hideMark/>
          </w:tcPr>
          <w:p w14:paraId="0203EB7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Access control</w:t>
            </w:r>
          </w:p>
        </w:tc>
        <w:tc>
          <w:tcPr>
            <w:tcW w:w="0" w:type="auto"/>
            <w:vAlign w:val="center"/>
            <w:hideMark/>
          </w:tcPr>
          <w:p w14:paraId="6B6E17B0"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Access on a documented need-to-know basis; individual named accounts; no shared credentials; access reviewed on each engagement closure</w:t>
            </w:r>
          </w:p>
        </w:tc>
      </w:tr>
      <w:tr w:rsidR="00A05E87" w:rsidRPr="00A05E87" w14:paraId="7CC24B23" w14:textId="77777777">
        <w:trPr>
          <w:tblCellSpacing w:w="15" w:type="dxa"/>
        </w:trPr>
        <w:tc>
          <w:tcPr>
            <w:tcW w:w="0" w:type="auto"/>
            <w:vAlign w:val="center"/>
            <w:hideMark/>
          </w:tcPr>
          <w:p w14:paraId="1856506A"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C.2</w:t>
            </w:r>
          </w:p>
        </w:tc>
        <w:tc>
          <w:tcPr>
            <w:tcW w:w="0" w:type="auto"/>
            <w:vAlign w:val="center"/>
            <w:hideMark/>
          </w:tcPr>
          <w:p w14:paraId="4257A92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Authentication</w:t>
            </w:r>
          </w:p>
        </w:tc>
        <w:tc>
          <w:tcPr>
            <w:tcW w:w="0" w:type="auto"/>
            <w:vAlign w:val="center"/>
            <w:hideMark/>
          </w:tcPr>
          <w:p w14:paraId="380040CA"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Multi-factor authentication enforced on all accounts holding client data</w:t>
            </w:r>
          </w:p>
        </w:tc>
      </w:tr>
      <w:tr w:rsidR="00A05E87" w:rsidRPr="00A05E87" w14:paraId="1A928459" w14:textId="77777777">
        <w:trPr>
          <w:tblCellSpacing w:w="15" w:type="dxa"/>
        </w:trPr>
        <w:tc>
          <w:tcPr>
            <w:tcW w:w="0" w:type="auto"/>
            <w:vAlign w:val="center"/>
            <w:hideMark/>
          </w:tcPr>
          <w:p w14:paraId="44C9820A"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C.3</w:t>
            </w:r>
          </w:p>
        </w:tc>
        <w:tc>
          <w:tcPr>
            <w:tcW w:w="0" w:type="auto"/>
            <w:vAlign w:val="center"/>
            <w:hideMark/>
          </w:tcPr>
          <w:p w14:paraId="018E8AE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Encryption</w:t>
            </w:r>
          </w:p>
        </w:tc>
        <w:tc>
          <w:tcPr>
            <w:tcW w:w="0" w:type="auto"/>
            <w:vAlign w:val="center"/>
            <w:hideMark/>
          </w:tcPr>
          <w:p w14:paraId="5474A95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Encryption in transit (TLS 1.2 or above) and at rest (AES-256 or equivalent) on all devices and storage</w:t>
            </w:r>
          </w:p>
        </w:tc>
      </w:tr>
      <w:tr w:rsidR="00A05E87" w:rsidRPr="00A05E87" w14:paraId="5DCD337B" w14:textId="77777777">
        <w:trPr>
          <w:tblCellSpacing w:w="15" w:type="dxa"/>
        </w:trPr>
        <w:tc>
          <w:tcPr>
            <w:tcW w:w="0" w:type="auto"/>
            <w:vAlign w:val="center"/>
            <w:hideMark/>
          </w:tcPr>
          <w:p w14:paraId="01EBF95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C.4</w:t>
            </w:r>
          </w:p>
        </w:tc>
        <w:tc>
          <w:tcPr>
            <w:tcW w:w="0" w:type="auto"/>
            <w:vAlign w:val="center"/>
            <w:hideMark/>
          </w:tcPr>
          <w:p w14:paraId="54C847A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Device security</w:t>
            </w:r>
          </w:p>
        </w:tc>
        <w:tc>
          <w:tcPr>
            <w:tcW w:w="0" w:type="auto"/>
            <w:vAlign w:val="center"/>
            <w:hideMark/>
          </w:tcPr>
          <w:p w14:paraId="2270D5F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Full-disk encryption; automatic screen lock; supported operating systems with automatic security updates; endpoint protection</w:t>
            </w:r>
          </w:p>
        </w:tc>
      </w:tr>
      <w:tr w:rsidR="00A05E87" w:rsidRPr="00A05E87" w14:paraId="3F549F48" w14:textId="77777777">
        <w:trPr>
          <w:tblCellSpacing w:w="15" w:type="dxa"/>
        </w:trPr>
        <w:tc>
          <w:tcPr>
            <w:tcW w:w="0" w:type="auto"/>
            <w:vAlign w:val="center"/>
            <w:hideMark/>
          </w:tcPr>
          <w:p w14:paraId="243CCBDA"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C.5</w:t>
            </w:r>
          </w:p>
        </w:tc>
        <w:tc>
          <w:tcPr>
            <w:tcW w:w="0" w:type="auto"/>
            <w:vAlign w:val="center"/>
            <w:hideMark/>
          </w:tcPr>
          <w:p w14:paraId="4B653FB0"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Segregation</w:t>
            </w:r>
          </w:p>
        </w:tc>
        <w:tc>
          <w:tcPr>
            <w:tcW w:w="0" w:type="auto"/>
            <w:vAlign w:val="center"/>
            <w:hideMark/>
          </w:tcPr>
          <w:p w14:paraId="0649267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Separate storage location per engagement; no commingling of client data</w:t>
            </w:r>
          </w:p>
        </w:tc>
      </w:tr>
      <w:tr w:rsidR="00A05E87" w:rsidRPr="00A05E87" w14:paraId="71F7742A" w14:textId="77777777">
        <w:trPr>
          <w:tblCellSpacing w:w="15" w:type="dxa"/>
        </w:trPr>
        <w:tc>
          <w:tcPr>
            <w:tcW w:w="0" w:type="auto"/>
            <w:vAlign w:val="center"/>
            <w:hideMark/>
          </w:tcPr>
          <w:p w14:paraId="2C6F6C04"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C.6</w:t>
            </w:r>
          </w:p>
        </w:tc>
        <w:tc>
          <w:tcPr>
            <w:tcW w:w="0" w:type="auto"/>
            <w:vAlign w:val="center"/>
            <w:hideMark/>
          </w:tcPr>
          <w:p w14:paraId="498FADA5"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Transfer</w:t>
            </w:r>
          </w:p>
        </w:tc>
        <w:tc>
          <w:tcPr>
            <w:tcW w:w="0" w:type="auto"/>
            <w:vAlign w:val="center"/>
            <w:hideMark/>
          </w:tcPr>
          <w:p w14:paraId="280564C4"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Designated secure file transfer; prohibition on personal email, personal cloud accounts and removable media</w:t>
            </w:r>
          </w:p>
        </w:tc>
      </w:tr>
      <w:tr w:rsidR="00A05E87" w:rsidRPr="00A05E87" w14:paraId="5B76932C" w14:textId="77777777">
        <w:trPr>
          <w:tblCellSpacing w:w="15" w:type="dxa"/>
        </w:trPr>
        <w:tc>
          <w:tcPr>
            <w:tcW w:w="0" w:type="auto"/>
            <w:vAlign w:val="center"/>
            <w:hideMark/>
          </w:tcPr>
          <w:p w14:paraId="3D305B9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C.7</w:t>
            </w:r>
          </w:p>
        </w:tc>
        <w:tc>
          <w:tcPr>
            <w:tcW w:w="0" w:type="auto"/>
            <w:vAlign w:val="center"/>
            <w:hideMark/>
          </w:tcPr>
          <w:p w14:paraId="033715D0"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Backup and recovery</w:t>
            </w:r>
          </w:p>
        </w:tc>
        <w:tc>
          <w:tcPr>
            <w:tcW w:w="0" w:type="auto"/>
            <w:vAlign w:val="center"/>
            <w:hideMark/>
          </w:tcPr>
          <w:p w14:paraId="734C917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Encrypted backup, [FREQUENCY], retention [PERIOD], restoration tested [FREQUENCY]</w:t>
            </w:r>
          </w:p>
        </w:tc>
      </w:tr>
      <w:tr w:rsidR="00A05E87" w:rsidRPr="00A05E87" w14:paraId="3398E9B7" w14:textId="77777777">
        <w:trPr>
          <w:tblCellSpacing w:w="15" w:type="dxa"/>
        </w:trPr>
        <w:tc>
          <w:tcPr>
            <w:tcW w:w="0" w:type="auto"/>
            <w:vAlign w:val="center"/>
            <w:hideMark/>
          </w:tcPr>
          <w:p w14:paraId="6EF8EE40"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C.8</w:t>
            </w:r>
          </w:p>
        </w:tc>
        <w:tc>
          <w:tcPr>
            <w:tcW w:w="0" w:type="auto"/>
            <w:vAlign w:val="center"/>
            <w:hideMark/>
          </w:tcPr>
          <w:p w14:paraId="5ED9035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Sub-processor control</w:t>
            </w:r>
          </w:p>
        </w:tc>
        <w:tc>
          <w:tcPr>
            <w:tcW w:w="0" w:type="auto"/>
            <w:vAlign w:val="center"/>
            <w:hideMark/>
          </w:tcPr>
          <w:p w14:paraId="4661DE45"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Written Article 28 terms with every sub-processor; AI provider training-exclusion assurances per Part 1, paragraph 1.5.1</w:t>
            </w:r>
          </w:p>
        </w:tc>
      </w:tr>
      <w:tr w:rsidR="00A05E87" w:rsidRPr="00A05E87" w14:paraId="4F4643B9" w14:textId="77777777">
        <w:trPr>
          <w:tblCellSpacing w:w="15" w:type="dxa"/>
        </w:trPr>
        <w:tc>
          <w:tcPr>
            <w:tcW w:w="0" w:type="auto"/>
            <w:vAlign w:val="center"/>
            <w:hideMark/>
          </w:tcPr>
          <w:p w14:paraId="0C4AD37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C.9</w:t>
            </w:r>
          </w:p>
        </w:tc>
        <w:tc>
          <w:tcPr>
            <w:tcW w:w="0" w:type="auto"/>
            <w:vAlign w:val="center"/>
            <w:hideMark/>
          </w:tcPr>
          <w:p w14:paraId="2DA0639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Personnel</w:t>
            </w:r>
          </w:p>
        </w:tc>
        <w:tc>
          <w:tcPr>
            <w:tcW w:w="0" w:type="auto"/>
            <w:vAlign w:val="center"/>
            <w:hideMark/>
          </w:tcPr>
          <w:p w14:paraId="7D19510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Confidentiality undertakings; data protection and information security training on appointment and annually</w:t>
            </w:r>
          </w:p>
        </w:tc>
      </w:tr>
      <w:tr w:rsidR="00A05E87" w:rsidRPr="00A05E87" w14:paraId="083AFB97" w14:textId="77777777">
        <w:trPr>
          <w:tblCellSpacing w:w="15" w:type="dxa"/>
        </w:trPr>
        <w:tc>
          <w:tcPr>
            <w:tcW w:w="0" w:type="auto"/>
            <w:vAlign w:val="center"/>
            <w:hideMark/>
          </w:tcPr>
          <w:p w14:paraId="55A0E34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C.10</w:t>
            </w:r>
          </w:p>
        </w:tc>
        <w:tc>
          <w:tcPr>
            <w:tcW w:w="0" w:type="auto"/>
            <w:vAlign w:val="center"/>
            <w:hideMark/>
          </w:tcPr>
          <w:p w14:paraId="183CEBA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Breach management</w:t>
            </w:r>
          </w:p>
        </w:tc>
        <w:tc>
          <w:tcPr>
            <w:tcW w:w="0" w:type="auto"/>
            <w:vAlign w:val="center"/>
            <w:hideMark/>
          </w:tcPr>
          <w:p w14:paraId="7429F22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Documented breach procedure; internal reporting within 24 hours; notification to the Client within 48 hours</w:t>
            </w:r>
          </w:p>
        </w:tc>
      </w:tr>
      <w:tr w:rsidR="00A05E87" w:rsidRPr="00A05E87" w14:paraId="16DA4964" w14:textId="77777777">
        <w:trPr>
          <w:tblCellSpacing w:w="15" w:type="dxa"/>
        </w:trPr>
        <w:tc>
          <w:tcPr>
            <w:tcW w:w="0" w:type="auto"/>
            <w:vAlign w:val="center"/>
            <w:hideMark/>
          </w:tcPr>
          <w:p w14:paraId="59D27F4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C.11</w:t>
            </w:r>
          </w:p>
        </w:tc>
        <w:tc>
          <w:tcPr>
            <w:tcW w:w="0" w:type="auto"/>
            <w:vAlign w:val="center"/>
            <w:hideMark/>
          </w:tcPr>
          <w:p w14:paraId="7B69EC8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Deletion</w:t>
            </w:r>
          </w:p>
        </w:tc>
        <w:tc>
          <w:tcPr>
            <w:tcW w:w="0" w:type="auto"/>
            <w:vAlign w:val="center"/>
            <w:hideMark/>
          </w:tcPr>
          <w:p w14:paraId="29A41585"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Documented deletion procedure with certification on request</w:t>
            </w:r>
          </w:p>
        </w:tc>
      </w:tr>
      <w:tr w:rsidR="00A05E87" w:rsidRPr="00A05E87" w14:paraId="278E8BE7" w14:textId="77777777">
        <w:trPr>
          <w:tblCellSpacing w:w="15" w:type="dxa"/>
        </w:trPr>
        <w:tc>
          <w:tcPr>
            <w:tcW w:w="0" w:type="auto"/>
            <w:vAlign w:val="center"/>
            <w:hideMark/>
          </w:tcPr>
          <w:p w14:paraId="4F3E2C0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C.12</w:t>
            </w:r>
          </w:p>
        </w:tc>
        <w:tc>
          <w:tcPr>
            <w:tcW w:w="0" w:type="auto"/>
            <w:vAlign w:val="center"/>
            <w:hideMark/>
          </w:tcPr>
          <w:p w14:paraId="1F2C43A4"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Certification</w:t>
            </w:r>
          </w:p>
        </w:tc>
        <w:tc>
          <w:tcPr>
            <w:tcW w:w="0" w:type="auto"/>
            <w:vAlign w:val="center"/>
            <w:hideMark/>
          </w:tcPr>
          <w:p w14:paraId="002BB36A"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Cyber Essentials [HELD SINCE [DATE] / TARGETED FOR [DATE]]</w:t>
            </w:r>
          </w:p>
        </w:tc>
      </w:tr>
    </w:tbl>
    <w:p w14:paraId="2299DEB5" w14:textId="77777777" w:rsidR="00A05E87" w:rsidRPr="00A05E87" w:rsidRDefault="00873758" w:rsidP="00A05E87">
      <w:pPr>
        <w:rPr>
          <w:rFonts w:ascii="Times New Roman" w:eastAsia="Times New Roman" w:hAnsi="Times New Roman" w:cs="Times New Roman"/>
          <w:kern w:val="0"/>
          <w:lang w:eastAsia="en-GB"/>
          <w14:ligatures w14:val="none"/>
        </w:rPr>
      </w:pPr>
      <w:r w:rsidRPr="00873758">
        <w:rPr>
          <w:rFonts w:ascii="Times New Roman" w:eastAsia="Times New Roman" w:hAnsi="Times New Roman" w:cs="Times New Roman"/>
          <w:noProof/>
          <w:kern w:val="0"/>
          <w:lang w:eastAsia="en-GB"/>
        </w:rPr>
        <w:pict w14:anchorId="582EA629">
          <v:rect id="_x0000_i1026" alt="" style="width:451.3pt;height:.05pt;mso-width-percent:0;mso-height-percent:0;mso-width-percent:0;mso-height-percent:0" o:hralign="center" o:hrstd="t" o:hr="t" fillcolor="#a0a0a0" stroked="f"/>
        </w:pict>
      </w:r>
    </w:p>
    <w:p w14:paraId="04019A0D" w14:textId="77777777" w:rsidR="00A05E87" w:rsidRPr="00A05E87" w:rsidRDefault="00873758" w:rsidP="00A05E87">
      <w:pPr>
        <w:rPr>
          <w:rFonts w:ascii="Times New Roman" w:eastAsia="Times New Roman" w:hAnsi="Times New Roman" w:cs="Times New Roman"/>
          <w:kern w:val="0"/>
          <w:lang w:eastAsia="en-GB"/>
          <w14:ligatures w14:val="none"/>
        </w:rPr>
      </w:pPr>
      <w:r w:rsidRPr="00873758">
        <w:rPr>
          <w:rFonts w:ascii="Times New Roman" w:eastAsia="Times New Roman" w:hAnsi="Times New Roman" w:cs="Times New Roman"/>
          <w:noProof/>
          <w:kern w:val="0"/>
          <w:lang w:eastAsia="en-GB"/>
        </w:rPr>
        <w:pict w14:anchorId="617F9FA9">
          <v:rect id="_x0000_i1025" style="width:0;height:1.5pt" o:hralign="center" o:hrstd="t" o:hr="t" fillcolor="#a0a0a0" stroked="f"/>
        </w:pict>
      </w:r>
    </w:p>
    <w:p w14:paraId="4C7FA576" w14:textId="77777777" w:rsidR="00A05E87" w:rsidRPr="00A05E87" w:rsidRDefault="00A05E87" w:rsidP="00A05E8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05E87">
        <w:rPr>
          <w:rFonts w:ascii="Times New Roman" w:eastAsia="Times New Roman" w:hAnsi="Times New Roman" w:cs="Times New Roman"/>
          <w:b/>
          <w:bCs/>
          <w:kern w:val="36"/>
          <w:sz w:val="48"/>
          <w:szCs w:val="48"/>
          <w:lang w:eastAsia="en-GB"/>
          <w14:ligatures w14:val="none"/>
        </w:rPr>
        <w:t>PART 3 — INTELLECTUAL PROPERTY SCHEDULE</w:t>
      </w:r>
    </w:p>
    <w:p w14:paraId="57FB774F"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3.1 Purpose</w:t>
      </w:r>
    </w:p>
    <w:p w14:paraId="651CEA90"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3.1.1 This Part 3 records, for the avoidance of doubt, the ownership of and permitted use of each category of material arising in connection with an Engagement. It supplements and does not limit Section H of the Master Terms. In the event of conflict, Section H prevails.</w:t>
      </w:r>
    </w:p>
    <w:p w14:paraId="215F807D"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3.2 Ownership and licence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662"/>
        <w:gridCol w:w="1300"/>
        <w:gridCol w:w="2855"/>
        <w:gridCol w:w="1534"/>
      </w:tblGrid>
      <w:tr w:rsidR="00A05E87" w:rsidRPr="00A05E87" w14:paraId="21334DBA" w14:textId="77777777">
        <w:trPr>
          <w:tblHeader/>
          <w:tblCellSpacing w:w="15" w:type="dxa"/>
        </w:trPr>
        <w:tc>
          <w:tcPr>
            <w:tcW w:w="0" w:type="auto"/>
            <w:vAlign w:val="center"/>
            <w:hideMark/>
          </w:tcPr>
          <w:p w14:paraId="67D0FDA5"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REF</w:t>
            </w:r>
          </w:p>
        </w:tc>
        <w:tc>
          <w:tcPr>
            <w:tcW w:w="0" w:type="auto"/>
            <w:vAlign w:val="center"/>
            <w:hideMark/>
          </w:tcPr>
          <w:p w14:paraId="579F92A9"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CATEGORY OF MATERIAL</w:t>
            </w:r>
          </w:p>
        </w:tc>
        <w:tc>
          <w:tcPr>
            <w:tcW w:w="0" w:type="auto"/>
            <w:vAlign w:val="center"/>
            <w:hideMark/>
          </w:tcPr>
          <w:p w14:paraId="1FCA3091"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OWNER</w:t>
            </w:r>
          </w:p>
        </w:tc>
        <w:tc>
          <w:tcPr>
            <w:tcW w:w="0" w:type="auto"/>
            <w:vAlign w:val="center"/>
            <w:hideMark/>
          </w:tcPr>
          <w:p w14:paraId="2AB5F5FB"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CLIENT'S PERMITTED USE</w:t>
            </w:r>
          </w:p>
        </w:tc>
        <w:tc>
          <w:tcPr>
            <w:tcW w:w="0" w:type="auto"/>
            <w:vAlign w:val="center"/>
            <w:hideMark/>
          </w:tcPr>
          <w:p w14:paraId="21AA66B7" w14:textId="77777777" w:rsidR="00A05E87" w:rsidRPr="00A05E87" w:rsidRDefault="00A05E87" w:rsidP="00A05E87">
            <w:pPr>
              <w:jc w:val="center"/>
              <w:rPr>
                <w:rFonts w:ascii="Times New Roman" w:eastAsia="Times New Roman" w:hAnsi="Times New Roman" w:cs="Times New Roman"/>
                <w:b/>
                <w:bCs/>
                <w:kern w:val="0"/>
                <w:lang w:eastAsia="en-GB"/>
                <w14:ligatures w14:val="none"/>
              </w:rPr>
            </w:pPr>
            <w:r w:rsidRPr="00A05E87">
              <w:rPr>
                <w:rFonts w:ascii="Times New Roman" w:eastAsia="Times New Roman" w:hAnsi="Times New Roman" w:cs="Times New Roman"/>
                <w:b/>
                <w:bCs/>
                <w:kern w:val="0"/>
                <w:lang w:eastAsia="en-GB"/>
                <w14:ligatures w14:val="none"/>
              </w:rPr>
              <w:t>BASIS</w:t>
            </w:r>
          </w:p>
        </w:tc>
      </w:tr>
      <w:tr w:rsidR="00A05E87" w:rsidRPr="00A05E87" w14:paraId="75D0D6A8" w14:textId="77777777">
        <w:trPr>
          <w:tblCellSpacing w:w="15" w:type="dxa"/>
        </w:trPr>
        <w:tc>
          <w:tcPr>
            <w:tcW w:w="0" w:type="auto"/>
            <w:vAlign w:val="center"/>
            <w:hideMark/>
          </w:tcPr>
          <w:p w14:paraId="4839AAD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3.2.1</w:t>
            </w:r>
          </w:p>
        </w:tc>
        <w:tc>
          <w:tcPr>
            <w:tcW w:w="0" w:type="auto"/>
            <w:vAlign w:val="center"/>
            <w:hideMark/>
          </w:tcPr>
          <w:p w14:paraId="675BE4E0"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Bespoke narrative content authored for the Client (Submission Content)</w:t>
            </w:r>
          </w:p>
        </w:tc>
        <w:tc>
          <w:tcPr>
            <w:tcW w:w="0" w:type="auto"/>
            <w:vAlign w:val="center"/>
            <w:hideMark/>
          </w:tcPr>
          <w:p w14:paraId="4B685F5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Client, on payment in full</w:t>
            </w:r>
          </w:p>
        </w:tc>
        <w:tc>
          <w:tcPr>
            <w:tcW w:w="0" w:type="auto"/>
            <w:vAlign w:val="center"/>
            <w:hideMark/>
          </w:tcPr>
          <w:p w14:paraId="7E1F1B2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Unrestricted</w:t>
            </w:r>
          </w:p>
        </w:tc>
        <w:tc>
          <w:tcPr>
            <w:tcW w:w="0" w:type="auto"/>
            <w:vAlign w:val="center"/>
            <w:hideMark/>
          </w:tcPr>
          <w:p w14:paraId="0A623D2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Assignment — Master Terms H.2</w:t>
            </w:r>
          </w:p>
        </w:tc>
      </w:tr>
      <w:tr w:rsidR="00A05E87" w:rsidRPr="00A05E87" w14:paraId="5C80827B" w14:textId="77777777">
        <w:trPr>
          <w:tblCellSpacing w:w="15" w:type="dxa"/>
        </w:trPr>
        <w:tc>
          <w:tcPr>
            <w:tcW w:w="0" w:type="auto"/>
            <w:vAlign w:val="center"/>
            <w:hideMark/>
          </w:tcPr>
          <w:p w14:paraId="67C7F4E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3.2.2</w:t>
            </w:r>
          </w:p>
        </w:tc>
        <w:tc>
          <w:tcPr>
            <w:tcW w:w="0" w:type="auto"/>
            <w:vAlign w:val="center"/>
            <w:hideMark/>
          </w:tcPr>
          <w:p w14:paraId="7D0AFDC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Client Materials supplied by the Client</w:t>
            </w:r>
          </w:p>
        </w:tc>
        <w:tc>
          <w:tcPr>
            <w:tcW w:w="0" w:type="auto"/>
            <w:vAlign w:val="center"/>
            <w:hideMark/>
          </w:tcPr>
          <w:p w14:paraId="29B6E6E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Client throughout</w:t>
            </w:r>
          </w:p>
        </w:tc>
        <w:tc>
          <w:tcPr>
            <w:tcW w:w="0" w:type="auto"/>
            <w:vAlign w:val="center"/>
            <w:hideMark/>
          </w:tcPr>
          <w:p w14:paraId="68C41DE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Unrestricted</w:t>
            </w:r>
          </w:p>
        </w:tc>
        <w:tc>
          <w:tcPr>
            <w:tcW w:w="0" w:type="auto"/>
            <w:vAlign w:val="center"/>
            <w:hideMark/>
          </w:tcPr>
          <w:p w14:paraId="46BD054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Never assigned to Consultant — H.3</w:t>
            </w:r>
          </w:p>
        </w:tc>
      </w:tr>
      <w:tr w:rsidR="00A05E87" w:rsidRPr="00A05E87" w14:paraId="1A7FC0F4" w14:textId="77777777">
        <w:trPr>
          <w:tblCellSpacing w:w="15" w:type="dxa"/>
        </w:trPr>
        <w:tc>
          <w:tcPr>
            <w:tcW w:w="0" w:type="auto"/>
            <w:vAlign w:val="center"/>
            <w:hideMark/>
          </w:tcPr>
          <w:p w14:paraId="491A950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3.2.3</w:t>
            </w:r>
          </w:p>
        </w:tc>
        <w:tc>
          <w:tcPr>
            <w:tcW w:w="0" w:type="auto"/>
            <w:vAlign w:val="center"/>
            <w:hideMark/>
          </w:tcPr>
          <w:p w14:paraId="1BD4206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Templates, precedents, model responses and question banks</w:t>
            </w:r>
          </w:p>
        </w:tc>
        <w:tc>
          <w:tcPr>
            <w:tcW w:w="0" w:type="auto"/>
            <w:vAlign w:val="center"/>
            <w:hideMark/>
          </w:tcPr>
          <w:p w14:paraId="33EC2114"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04BDDA4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Within the Deliverable; internal business use; own future submissions in own name</w:t>
            </w:r>
          </w:p>
        </w:tc>
        <w:tc>
          <w:tcPr>
            <w:tcW w:w="0" w:type="auto"/>
            <w:vAlign w:val="center"/>
            <w:hideMark/>
          </w:tcPr>
          <w:p w14:paraId="026C943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Licence — H.4, restricted by H.5</w:t>
            </w:r>
          </w:p>
        </w:tc>
      </w:tr>
      <w:tr w:rsidR="00A05E87" w:rsidRPr="00A05E87" w14:paraId="11ACBE5E" w14:textId="77777777">
        <w:trPr>
          <w:tblCellSpacing w:w="15" w:type="dxa"/>
        </w:trPr>
        <w:tc>
          <w:tcPr>
            <w:tcW w:w="0" w:type="auto"/>
            <w:vAlign w:val="center"/>
            <w:hideMark/>
          </w:tcPr>
          <w:p w14:paraId="321A0D7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3.2.4</w:t>
            </w:r>
          </w:p>
        </w:tc>
        <w:tc>
          <w:tcPr>
            <w:tcW w:w="0" w:type="auto"/>
            <w:vAlign w:val="center"/>
            <w:hideMark/>
          </w:tcPr>
          <w:p w14:paraId="2C842B6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Bid Fit Score framework, scorecards, weightings and decision criteria</w:t>
            </w:r>
          </w:p>
        </w:tc>
        <w:tc>
          <w:tcPr>
            <w:tcW w:w="0" w:type="auto"/>
            <w:vAlign w:val="center"/>
            <w:hideMark/>
          </w:tcPr>
          <w:p w14:paraId="65821B0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4B54E5F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Reading and acting upon the scorecard delivered; no other use</w:t>
            </w:r>
          </w:p>
        </w:tc>
        <w:tc>
          <w:tcPr>
            <w:tcW w:w="0" w:type="auto"/>
            <w:vAlign w:val="center"/>
            <w:hideMark/>
          </w:tcPr>
          <w:p w14:paraId="1307149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Licence — H.4, restricted by H.5</w:t>
            </w:r>
          </w:p>
        </w:tc>
      </w:tr>
      <w:tr w:rsidR="00A05E87" w:rsidRPr="00A05E87" w14:paraId="36E9773B" w14:textId="77777777">
        <w:trPr>
          <w:tblCellSpacing w:w="15" w:type="dxa"/>
        </w:trPr>
        <w:tc>
          <w:tcPr>
            <w:tcW w:w="0" w:type="auto"/>
            <w:vAlign w:val="center"/>
            <w:hideMark/>
          </w:tcPr>
          <w:p w14:paraId="2B0FDEC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3.2.5</w:t>
            </w:r>
          </w:p>
        </w:tc>
        <w:tc>
          <w:tcPr>
            <w:tcW w:w="0" w:type="auto"/>
            <w:vAlign w:val="center"/>
            <w:hideMark/>
          </w:tcPr>
          <w:p w14:paraId="1AE1A4A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Bid Readiness Assessment methodology and gap-analysis framework</w:t>
            </w:r>
          </w:p>
        </w:tc>
        <w:tc>
          <w:tcPr>
            <w:tcW w:w="0" w:type="auto"/>
            <w:vAlign w:val="center"/>
            <w:hideMark/>
          </w:tcPr>
          <w:p w14:paraId="5D773F6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42C892A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As 3.2.4</w:t>
            </w:r>
          </w:p>
        </w:tc>
        <w:tc>
          <w:tcPr>
            <w:tcW w:w="0" w:type="auto"/>
            <w:vAlign w:val="center"/>
            <w:hideMark/>
          </w:tcPr>
          <w:p w14:paraId="23B020D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Licence — H.4</w:t>
            </w:r>
          </w:p>
        </w:tc>
      </w:tr>
      <w:tr w:rsidR="00A05E87" w:rsidRPr="00A05E87" w14:paraId="3A8DC975" w14:textId="77777777">
        <w:trPr>
          <w:tblCellSpacing w:w="15" w:type="dxa"/>
        </w:trPr>
        <w:tc>
          <w:tcPr>
            <w:tcW w:w="0" w:type="auto"/>
            <w:vAlign w:val="center"/>
            <w:hideMark/>
          </w:tcPr>
          <w:p w14:paraId="358FEE1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3.2.6</w:t>
            </w:r>
          </w:p>
        </w:tc>
        <w:tc>
          <w:tcPr>
            <w:tcW w:w="0" w:type="auto"/>
            <w:vAlign w:val="center"/>
            <w:hideMark/>
          </w:tcPr>
          <w:p w14:paraId="6DAD07F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Evidence Bank — content comprising Client Materials</w:t>
            </w:r>
          </w:p>
        </w:tc>
        <w:tc>
          <w:tcPr>
            <w:tcW w:w="0" w:type="auto"/>
            <w:vAlign w:val="center"/>
            <w:hideMark/>
          </w:tcPr>
          <w:p w14:paraId="2218AB3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Client</w:t>
            </w:r>
          </w:p>
        </w:tc>
        <w:tc>
          <w:tcPr>
            <w:tcW w:w="0" w:type="auto"/>
            <w:vAlign w:val="center"/>
            <w:hideMark/>
          </w:tcPr>
          <w:p w14:paraId="276D0DE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Unrestricted</w:t>
            </w:r>
          </w:p>
        </w:tc>
        <w:tc>
          <w:tcPr>
            <w:tcW w:w="0" w:type="auto"/>
            <w:vAlign w:val="center"/>
            <w:hideMark/>
          </w:tcPr>
          <w:p w14:paraId="1DBB6E9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H.6</w:t>
            </w:r>
          </w:p>
        </w:tc>
      </w:tr>
      <w:tr w:rsidR="00A05E87" w:rsidRPr="00A05E87" w14:paraId="6A27A115" w14:textId="77777777">
        <w:trPr>
          <w:tblCellSpacing w:w="15" w:type="dxa"/>
        </w:trPr>
        <w:tc>
          <w:tcPr>
            <w:tcW w:w="0" w:type="auto"/>
            <w:vAlign w:val="center"/>
            <w:hideMark/>
          </w:tcPr>
          <w:p w14:paraId="6C764EF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3.2.7</w:t>
            </w:r>
          </w:p>
        </w:tc>
        <w:tc>
          <w:tcPr>
            <w:tcW w:w="0" w:type="auto"/>
            <w:vAlign w:val="center"/>
            <w:hideMark/>
          </w:tcPr>
          <w:p w14:paraId="11C136A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Evidence Bank — structure, taxonomy, indexing method, criteria mapping and templates</w:t>
            </w:r>
          </w:p>
        </w:tc>
        <w:tc>
          <w:tcPr>
            <w:tcW w:w="0" w:type="auto"/>
            <w:vAlign w:val="center"/>
            <w:hideMark/>
          </w:tcPr>
          <w:p w14:paraId="3C5B3A94"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12E30E4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Use of the populated Evidence Bank for own submissions; no extraction of the structure for use with or by any third party</w:t>
            </w:r>
          </w:p>
        </w:tc>
        <w:tc>
          <w:tcPr>
            <w:tcW w:w="0" w:type="auto"/>
            <w:vAlign w:val="center"/>
            <w:hideMark/>
          </w:tcPr>
          <w:p w14:paraId="2BA8148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Licence — H.6</w:t>
            </w:r>
          </w:p>
        </w:tc>
      </w:tr>
      <w:tr w:rsidR="00A05E87" w:rsidRPr="00A05E87" w14:paraId="39901B6F" w14:textId="77777777">
        <w:trPr>
          <w:tblCellSpacing w:w="15" w:type="dxa"/>
        </w:trPr>
        <w:tc>
          <w:tcPr>
            <w:tcW w:w="0" w:type="auto"/>
            <w:vAlign w:val="center"/>
            <w:hideMark/>
          </w:tcPr>
          <w:p w14:paraId="0D5B850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3.2.8</w:t>
            </w:r>
          </w:p>
        </w:tc>
        <w:tc>
          <w:tcPr>
            <w:tcW w:w="0" w:type="auto"/>
            <w:vAlign w:val="center"/>
            <w:hideMark/>
          </w:tcPr>
          <w:p w14:paraId="0B0A8A8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Compliance matrices, response trackers and checklists</w:t>
            </w:r>
          </w:p>
        </w:tc>
        <w:tc>
          <w:tcPr>
            <w:tcW w:w="0" w:type="auto"/>
            <w:vAlign w:val="center"/>
            <w:hideMark/>
          </w:tcPr>
          <w:p w14:paraId="2E7106A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4118210F"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Within the Engagement and the Client's own subsequent submissions</w:t>
            </w:r>
          </w:p>
        </w:tc>
        <w:tc>
          <w:tcPr>
            <w:tcW w:w="0" w:type="auto"/>
            <w:vAlign w:val="center"/>
            <w:hideMark/>
          </w:tcPr>
          <w:p w14:paraId="55B91CB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Licence — H.4</w:t>
            </w:r>
          </w:p>
        </w:tc>
      </w:tr>
      <w:tr w:rsidR="00A05E87" w:rsidRPr="00A05E87" w14:paraId="3643EEDD" w14:textId="77777777">
        <w:trPr>
          <w:tblCellSpacing w:w="15" w:type="dxa"/>
        </w:trPr>
        <w:tc>
          <w:tcPr>
            <w:tcW w:w="0" w:type="auto"/>
            <w:vAlign w:val="center"/>
            <w:hideMark/>
          </w:tcPr>
          <w:p w14:paraId="6879419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3.2.9</w:t>
            </w:r>
          </w:p>
        </w:tc>
        <w:tc>
          <w:tcPr>
            <w:tcW w:w="0" w:type="auto"/>
            <w:vAlign w:val="center"/>
            <w:hideMark/>
          </w:tcPr>
          <w:p w14:paraId="0ED56C7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Social value methodology, theme mapping and outcome frameworks</w:t>
            </w:r>
          </w:p>
        </w:tc>
        <w:tc>
          <w:tcPr>
            <w:tcW w:w="0" w:type="auto"/>
            <w:vAlign w:val="center"/>
            <w:hideMark/>
          </w:tcPr>
          <w:p w14:paraId="2CAFA0D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68BA697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As 3.2.3</w:t>
            </w:r>
          </w:p>
        </w:tc>
        <w:tc>
          <w:tcPr>
            <w:tcW w:w="0" w:type="auto"/>
            <w:vAlign w:val="center"/>
            <w:hideMark/>
          </w:tcPr>
          <w:p w14:paraId="526CE2C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Licence — H.4</w:t>
            </w:r>
          </w:p>
        </w:tc>
      </w:tr>
      <w:tr w:rsidR="00A05E87" w:rsidRPr="00A05E87" w14:paraId="154F9CD1" w14:textId="77777777">
        <w:trPr>
          <w:tblCellSpacing w:w="15" w:type="dxa"/>
        </w:trPr>
        <w:tc>
          <w:tcPr>
            <w:tcW w:w="0" w:type="auto"/>
            <w:vAlign w:val="center"/>
            <w:hideMark/>
          </w:tcPr>
          <w:p w14:paraId="672F6B93"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3.2.10</w:t>
            </w:r>
          </w:p>
        </w:tc>
        <w:tc>
          <w:tcPr>
            <w:tcW w:w="0" w:type="auto"/>
            <w:vAlign w:val="center"/>
            <w:hideMark/>
          </w:tcPr>
          <w:p w14:paraId="213ED7B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Financial and costed business case models and templates</w:t>
            </w:r>
          </w:p>
        </w:tc>
        <w:tc>
          <w:tcPr>
            <w:tcW w:w="0" w:type="auto"/>
            <w:vAlign w:val="center"/>
            <w:hideMark/>
          </w:tcPr>
          <w:p w14:paraId="02E593B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3C60BB55"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As 3.2.3; the figures within remain Client Materials</w:t>
            </w:r>
          </w:p>
        </w:tc>
        <w:tc>
          <w:tcPr>
            <w:tcW w:w="0" w:type="auto"/>
            <w:vAlign w:val="center"/>
            <w:hideMark/>
          </w:tcPr>
          <w:p w14:paraId="65FF7C4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Licence — H.4</w:t>
            </w:r>
          </w:p>
        </w:tc>
      </w:tr>
      <w:tr w:rsidR="00A05E87" w:rsidRPr="00A05E87" w14:paraId="0E55409C" w14:textId="77777777">
        <w:trPr>
          <w:tblCellSpacing w:w="15" w:type="dxa"/>
        </w:trPr>
        <w:tc>
          <w:tcPr>
            <w:tcW w:w="0" w:type="auto"/>
            <w:vAlign w:val="center"/>
            <w:hideMark/>
          </w:tcPr>
          <w:p w14:paraId="2A3FBC6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3.2.11</w:t>
            </w:r>
          </w:p>
        </w:tc>
        <w:tc>
          <w:tcPr>
            <w:tcW w:w="0" w:type="auto"/>
            <w:vAlign w:val="center"/>
            <w:hideMark/>
          </w:tcPr>
          <w:p w14:paraId="6A2C1B14"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Post-Tender Debrief Analysis methodology and scoring improvement framework</w:t>
            </w:r>
          </w:p>
        </w:tc>
        <w:tc>
          <w:tcPr>
            <w:tcW w:w="0" w:type="auto"/>
            <w:vAlign w:val="center"/>
            <w:hideMark/>
          </w:tcPr>
          <w:p w14:paraId="3917AFAC"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5CBB386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Reading and acting upon the report delivered</w:t>
            </w:r>
          </w:p>
        </w:tc>
        <w:tc>
          <w:tcPr>
            <w:tcW w:w="0" w:type="auto"/>
            <w:vAlign w:val="center"/>
            <w:hideMark/>
          </w:tcPr>
          <w:p w14:paraId="1570400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Licence — H.4</w:t>
            </w:r>
          </w:p>
        </w:tc>
      </w:tr>
      <w:tr w:rsidR="00A05E87" w:rsidRPr="00A05E87" w14:paraId="13E86E15" w14:textId="77777777">
        <w:trPr>
          <w:tblCellSpacing w:w="15" w:type="dxa"/>
        </w:trPr>
        <w:tc>
          <w:tcPr>
            <w:tcW w:w="0" w:type="auto"/>
            <w:vAlign w:val="center"/>
            <w:hideMark/>
          </w:tcPr>
          <w:p w14:paraId="779C620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3.2.12</w:t>
            </w:r>
          </w:p>
        </w:tc>
        <w:tc>
          <w:tcPr>
            <w:tcW w:w="0" w:type="auto"/>
            <w:vAlign w:val="center"/>
            <w:hideMark/>
          </w:tcPr>
          <w:p w14:paraId="4568CF8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Adaptations, developments and improvements of any Consultant-owned material made during the Engagement</w:t>
            </w:r>
          </w:p>
        </w:tc>
        <w:tc>
          <w:tcPr>
            <w:tcW w:w="0" w:type="auto"/>
            <w:vAlign w:val="center"/>
            <w:hideMark/>
          </w:tcPr>
          <w:p w14:paraId="60EF328E"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537365B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As for the underlying material</w:t>
            </w:r>
          </w:p>
        </w:tc>
        <w:tc>
          <w:tcPr>
            <w:tcW w:w="0" w:type="auto"/>
            <w:vAlign w:val="center"/>
            <w:hideMark/>
          </w:tcPr>
          <w:p w14:paraId="0D1258E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H.1</w:t>
            </w:r>
          </w:p>
        </w:tc>
      </w:tr>
      <w:tr w:rsidR="00A05E87" w:rsidRPr="00A05E87" w14:paraId="04753F04" w14:textId="77777777">
        <w:trPr>
          <w:tblCellSpacing w:w="15" w:type="dxa"/>
        </w:trPr>
        <w:tc>
          <w:tcPr>
            <w:tcW w:w="0" w:type="auto"/>
            <w:vAlign w:val="center"/>
            <w:hideMark/>
          </w:tcPr>
          <w:p w14:paraId="56D3D3E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3.2.13</w:t>
            </w:r>
          </w:p>
        </w:tc>
        <w:tc>
          <w:tcPr>
            <w:tcW w:w="0" w:type="auto"/>
            <w:vAlign w:val="center"/>
            <w:hideMark/>
          </w:tcPr>
          <w:p w14:paraId="17750835"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Win-rate, score and outcome data; case studies; testimonials; marketing assets</w:t>
            </w:r>
          </w:p>
        </w:tc>
        <w:tc>
          <w:tcPr>
            <w:tcW w:w="0" w:type="auto"/>
            <w:vAlign w:val="center"/>
            <w:hideMark/>
          </w:tcPr>
          <w:p w14:paraId="7FC8911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4C726C1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Client's own use of its own results; anonymised use by Consultant per G.6</w:t>
            </w:r>
          </w:p>
        </w:tc>
        <w:tc>
          <w:tcPr>
            <w:tcW w:w="0" w:type="auto"/>
            <w:vAlign w:val="center"/>
            <w:hideMark/>
          </w:tcPr>
          <w:p w14:paraId="5CAA185B"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H.7 and G.6</w:t>
            </w:r>
          </w:p>
        </w:tc>
      </w:tr>
      <w:tr w:rsidR="00A05E87" w:rsidRPr="00A05E87" w14:paraId="6FF5D172" w14:textId="77777777">
        <w:trPr>
          <w:tblCellSpacing w:w="15" w:type="dxa"/>
        </w:trPr>
        <w:tc>
          <w:tcPr>
            <w:tcW w:w="0" w:type="auto"/>
            <w:vAlign w:val="center"/>
            <w:hideMark/>
          </w:tcPr>
          <w:p w14:paraId="20FF3BC5"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3.2.14</w:t>
            </w:r>
          </w:p>
        </w:tc>
        <w:tc>
          <w:tcPr>
            <w:tcW w:w="0" w:type="auto"/>
            <w:vAlign w:val="center"/>
            <w:hideMark/>
          </w:tcPr>
          <w:p w14:paraId="7AA4BAB2"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Third-party licensed material incorporated in a Deliverable</w:t>
            </w:r>
          </w:p>
        </w:tc>
        <w:tc>
          <w:tcPr>
            <w:tcW w:w="0" w:type="auto"/>
            <w:vAlign w:val="center"/>
            <w:hideMark/>
          </w:tcPr>
          <w:p w14:paraId="1C9B3F7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Third party</w:t>
            </w:r>
          </w:p>
        </w:tc>
        <w:tc>
          <w:tcPr>
            <w:tcW w:w="0" w:type="auto"/>
            <w:vAlign w:val="center"/>
            <w:hideMark/>
          </w:tcPr>
          <w:p w14:paraId="0ADE9B5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As permitted by the third-party licence, particulars on request</w:t>
            </w:r>
          </w:p>
        </w:tc>
        <w:tc>
          <w:tcPr>
            <w:tcW w:w="0" w:type="auto"/>
            <w:vAlign w:val="center"/>
            <w:hideMark/>
          </w:tcPr>
          <w:p w14:paraId="18FAFE2D"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H.8</w:t>
            </w:r>
          </w:p>
        </w:tc>
      </w:tr>
      <w:tr w:rsidR="00A05E87" w:rsidRPr="00A05E87" w14:paraId="528520AD" w14:textId="77777777">
        <w:trPr>
          <w:tblCellSpacing w:w="15" w:type="dxa"/>
        </w:trPr>
        <w:tc>
          <w:tcPr>
            <w:tcW w:w="0" w:type="auto"/>
            <w:vAlign w:val="center"/>
            <w:hideMark/>
          </w:tcPr>
          <w:p w14:paraId="4470FF18"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3.2.15</w:t>
            </w:r>
          </w:p>
        </w:tc>
        <w:tc>
          <w:tcPr>
            <w:tcW w:w="0" w:type="auto"/>
            <w:vAlign w:val="center"/>
            <w:hideMark/>
          </w:tcPr>
          <w:p w14:paraId="3DF71F26"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Skills, techniques, experience and generic know-how acquired by the Consultant</w:t>
            </w:r>
          </w:p>
        </w:tc>
        <w:tc>
          <w:tcPr>
            <w:tcW w:w="0" w:type="auto"/>
            <w:vAlign w:val="center"/>
            <w:hideMark/>
          </w:tcPr>
          <w:p w14:paraId="4C72D011"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Consultant</w:t>
            </w:r>
          </w:p>
        </w:tc>
        <w:tc>
          <w:tcPr>
            <w:tcW w:w="0" w:type="auto"/>
            <w:vAlign w:val="center"/>
            <w:hideMark/>
          </w:tcPr>
          <w:p w14:paraId="6BA4FF27"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Not applicable</w:t>
            </w:r>
          </w:p>
        </w:tc>
        <w:tc>
          <w:tcPr>
            <w:tcW w:w="0" w:type="auto"/>
            <w:vAlign w:val="center"/>
            <w:hideMark/>
          </w:tcPr>
          <w:p w14:paraId="33DD7959" w14:textId="77777777" w:rsidR="00A05E87" w:rsidRPr="00A05E87" w:rsidRDefault="00A05E87" w:rsidP="00A05E87">
            <w:pPr>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H.7</w:t>
            </w:r>
          </w:p>
        </w:tc>
      </w:tr>
    </w:tbl>
    <w:p w14:paraId="5843626A" w14:textId="77777777" w:rsidR="00A05E87" w:rsidRPr="00A05E87" w:rsidRDefault="00A05E87" w:rsidP="00A05E8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05E87">
        <w:rPr>
          <w:rFonts w:ascii="Times New Roman" w:eastAsia="Times New Roman" w:hAnsi="Times New Roman" w:cs="Times New Roman"/>
          <w:b/>
          <w:bCs/>
          <w:kern w:val="0"/>
          <w:sz w:val="36"/>
          <w:szCs w:val="36"/>
          <w:lang w:eastAsia="en-GB"/>
          <w14:ligatures w14:val="none"/>
        </w:rPr>
        <w:t>3.3 Express restrictions</w:t>
      </w:r>
    </w:p>
    <w:p w14:paraId="2C2366FC"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3.3.1 For the avoidance of doubt, and without prejudice to paragraph H.5 of the Master Terms, the Client shall not, in respect of any material owned by the Consultant:</w:t>
      </w:r>
    </w:p>
    <w:p w14:paraId="6532894B"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lastRenderedPageBreak/>
        <w:t>3.3.1.1 supply it to, or use it for the benefit of, any group company, consortium partner, sub-contractor, adviser or customer of the Client, save with prior written consent;</w:t>
      </w:r>
    </w:p>
    <w:p w14:paraId="5EC9E17A"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3.3.1.2 use it to prepare or assist in the preparation of any submission for any person other than the Client;</w:t>
      </w:r>
    </w:p>
    <w:p w14:paraId="01DC005B"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3.3.1.3 offer, market or provide any bid, tender or proposal service to any third party using it;</w:t>
      </w:r>
    </w:p>
    <w:p w14:paraId="70066046"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3.3.1.4 upload it to any AI System in a manner permitting training or third-party disclosure;</w:t>
      </w:r>
    </w:p>
    <w:p w14:paraId="3FA846A2"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3.3.1.5 remove or alter any proprietary notice, watermark or attribution; or</w:t>
      </w:r>
    </w:p>
    <w:p w14:paraId="35AA8028"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3.3.1.6 register or seek to register any intellectual property right in it.</w:t>
      </w:r>
    </w:p>
    <w:p w14:paraId="6903470F"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3.3.2 The licences at this Part 3 are personal to the Client, are non-transferable and non-sub-licensable, and terminate in accordance with paragraph H.9 of the Master Terms.</w:t>
      </w:r>
    </w:p>
    <w:p w14:paraId="3DCA040F" w14:textId="77777777" w:rsidR="00A05E87" w:rsidRPr="00A05E87" w:rsidRDefault="00A05E87" w:rsidP="00A05E87">
      <w:pPr>
        <w:spacing w:before="100" w:beforeAutospacing="1" w:after="100" w:afterAutospacing="1"/>
        <w:rPr>
          <w:rFonts w:ascii="Times New Roman" w:eastAsia="Times New Roman" w:hAnsi="Times New Roman" w:cs="Times New Roman"/>
          <w:kern w:val="0"/>
          <w:lang w:eastAsia="en-GB"/>
          <w14:ligatures w14:val="none"/>
        </w:rPr>
      </w:pPr>
      <w:r w:rsidRPr="00A05E87">
        <w:rPr>
          <w:rFonts w:ascii="Times New Roman" w:eastAsia="Times New Roman" w:hAnsi="Times New Roman" w:cs="Times New Roman"/>
          <w:kern w:val="0"/>
          <w:lang w:eastAsia="en-GB"/>
          <w14:ligatures w14:val="none"/>
        </w:rPr>
        <w:t>3.3.3 Where the Client is acquired, or the Client's business or a division of it is transferred, the licences at this Part 3 shall not automatically extend to the acquirer or transferee, and the Consultant's prior written consent shall be required, such consent not to be unreasonably withheld where the acquirer accepts these restrictions in writing.</w:t>
      </w:r>
    </w:p>
    <w:p w14:paraId="65BAF451"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87"/>
    <w:rsid w:val="003E4C6F"/>
    <w:rsid w:val="006E783B"/>
    <w:rsid w:val="00873758"/>
    <w:rsid w:val="00A05E87"/>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3437"/>
  <w15:chartTrackingRefBased/>
  <w15:docId w15:val="{CA23B6AD-35ED-784A-AF2F-3B84F63D6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E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E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E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E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E87"/>
    <w:rPr>
      <w:rFonts w:eastAsiaTheme="majorEastAsia" w:cstheme="majorBidi"/>
      <w:color w:val="272727" w:themeColor="text1" w:themeTint="D8"/>
    </w:rPr>
  </w:style>
  <w:style w:type="paragraph" w:styleId="Title">
    <w:name w:val="Title"/>
    <w:basedOn w:val="Normal"/>
    <w:next w:val="Normal"/>
    <w:link w:val="TitleChar"/>
    <w:uiPriority w:val="10"/>
    <w:qFormat/>
    <w:rsid w:val="00A05E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E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E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5E87"/>
    <w:rPr>
      <w:i/>
      <w:iCs/>
      <w:color w:val="404040" w:themeColor="text1" w:themeTint="BF"/>
    </w:rPr>
  </w:style>
  <w:style w:type="paragraph" w:styleId="ListParagraph">
    <w:name w:val="List Paragraph"/>
    <w:basedOn w:val="Normal"/>
    <w:uiPriority w:val="34"/>
    <w:qFormat/>
    <w:rsid w:val="00A05E87"/>
    <w:pPr>
      <w:ind w:left="720"/>
      <w:contextualSpacing/>
    </w:pPr>
  </w:style>
  <w:style w:type="character" w:styleId="IntenseEmphasis">
    <w:name w:val="Intense Emphasis"/>
    <w:basedOn w:val="DefaultParagraphFont"/>
    <w:uiPriority w:val="21"/>
    <w:qFormat/>
    <w:rsid w:val="00A05E87"/>
    <w:rPr>
      <w:i/>
      <w:iCs/>
      <w:color w:val="0F4761" w:themeColor="accent1" w:themeShade="BF"/>
    </w:rPr>
  </w:style>
  <w:style w:type="paragraph" w:styleId="IntenseQuote">
    <w:name w:val="Intense Quote"/>
    <w:basedOn w:val="Normal"/>
    <w:next w:val="Normal"/>
    <w:link w:val="IntenseQuoteChar"/>
    <w:uiPriority w:val="30"/>
    <w:qFormat/>
    <w:rsid w:val="00A05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E87"/>
    <w:rPr>
      <w:i/>
      <w:iCs/>
      <w:color w:val="0F4761" w:themeColor="accent1" w:themeShade="BF"/>
    </w:rPr>
  </w:style>
  <w:style w:type="character" w:styleId="IntenseReference">
    <w:name w:val="Intense Reference"/>
    <w:basedOn w:val="DefaultParagraphFont"/>
    <w:uiPriority w:val="32"/>
    <w:qFormat/>
    <w:rsid w:val="00A05E87"/>
    <w:rPr>
      <w:b/>
      <w:bCs/>
      <w:smallCaps/>
      <w:color w:val="0F4761" w:themeColor="accent1" w:themeShade="BF"/>
      <w:spacing w:val="5"/>
    </w:rPr>
  </w:style>
  <w:style w:type="paragraph" w:styleId="NormalWeb">
    <w:name w:val="Normal (Web)"/>
    <w:basedOn w:val="Normal"/>
    <w:uiPriority w:val="99"/>
    <w:semiHidden/>
    <w:unhideWhenUsed/>
    <w:rsid w:val="00A05E8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05E87"/>
    <w:rPr>
      <w:b/>
      <w:bCs/>
    </w:rPr>
  </w:style>
  <w:style w:type="character" w:styleId="Emphasis">
    <w:name w:val="Emphasis"/>
    <w:basedOn w:val="DefaultParagraphFont"/>
    <w:uiPriority w:val="20"/>
    <w:qFormat/>
    <w:rsid w:val="00A05E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3283</Words>
  <Characters>18719</Characters>
  <Application>Microsoft Office Word</Application>
  <DocSecurity>0</DocSecurity>
  <Lines>155</Lines>
  <Paragraphs>43</Paragraphs>
  <ScaleCrop>false</ScaleCrop>
  <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2026-09-10T22:36:00Z</dcterms:created>
  <dcterms:modified xsi:type="dcterms:W3CDTF">2026-09-10T22:50:00Z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73D5F126-0194-4EE1-9B55-AFF4F5D5D9D0</vt:lpwstr>
  </property>
</Properties>
</file>