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63EBC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CONFIDENTIAL — INTERNAL</w:t>
      </w:r>
    </w:p>
    <w:p w14:paraId="1157F78D" w14:textId="77777777" w:rsidR="000D7B8E" w:rsidRPr="000D7B8E" w:rsidRDefault="000D7B8E" w:rsidP="000D7B8E">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0D7B8E">
        <w:rPr>
          <w:rFonts w:ascii="Times New Roman" w:eastAsia="Times New Roman" w:hAnsi="Times New Roman" w:cs="Times New Roman"/>
          <w:b/>
          <w:bCs/>
          <w:kern w:val="36"/>
          <w:sz w:val="48"/>
          <w:szCs w:val="48"/>
          <w:lang w:eastAsia="en-GB"/>
          <w14:ligatures w14:val="none"/>
        </w:rPr>
        <w:t>STAFF HANDBOOK</w:t>
      </w:r>
    </w:p>
    <w:p w14:paraId="76C084AE"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MARHANA &amp; CO CONSULTING LTD</w:t>
      </w:r>
    </w:p>
    <w:p w14:paraId="52AF0AB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i/>
          <w:iCs/>
          <w:kern w:val="0"/>
          <w:lang w:eastAsia="en-GB"/>
          <w14:ligatures w14:val="none"/>
        </w:rPr>
        <w:t>Skeleton for adoption on first employment. Non-contractual save where expressly stated.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7020"/>
      </w:tblGrid>
      <w:tr w:rsidR="000D7B8E" w:rsidRPr="000D7B8E" w14:paraId="4525637C" w14:textId="77777777">
        <w:trPr>
          <w:tblHeader/>
          <w:tblCellSpacing w:w="15" w:type="dxa"/>
        </w:trPr>
        <w:tc>
          <w:tcPr>
            <w:tcW w:w="0" w:type="auto"/>
            <w:vAlign w:val="center"/>
            <w:hideMark/>
          </w:tcPr>
          <w:p w14:paraId="203AB991" w14:textId="77777777" w:rsidR="000D7B8E" w:rsidRPr="000D7B8E" w:rsidRDefault="000D7B8E" w:rsidP="000D7B8E">
            <w:pPr>
              <w:rPr>
                <w:rFonts w:ascii="Times New Roman" w:eastAsia="Times New Roman" w:hAnsi="Times New Roman" w:cs="Times New Roman"/>
                <w:kern w:val="0"/>
                <w:lang w:eastAsia="en-GB"/>
                <w14:ligatures w14:val="none"/>
              </w:rPr>
            </w:pPr>
          </w:p>
        </w:tc>
        <w:tc>
          <w:tcPr>
            <w:tcW w:w="0" w:type="auto"/>
            <w:vAlign w:val="center"/>
            <w:hideMark/>
          </w:tcPr>
          <w:p w14:paraId="07EDB42A" w14:textId="77777777" w:rsidR="000D7B8E" w:rsidRPr="000D7B8E" w:rsidRDefault="000D7B8E" w:rsidP="000D7B8E">
            <w:pPr>
              <w:jc w:val="center"/>
              <w:rPr>
                <w:rFonts w:ascii="Times New Roman" w:eastAsia="Times New Roman" w:hAnsi="Times New Roman" w:cs="Times New Roman"/>
                <w:kern w:val="0"/>
                <w:sz w:val="20"/>
                <w:szCs w:val="20"/>
                <w:lang w:eastAsia="en-GB"/>
                <w14:ligatures w14:val="none"/>
              </w:rPr>
            </w:pPr>
          </w:p>
        </w:tc>
      </w:tr>
      <w:tr w:rsidR="000D7B8E" w:rsidRPr="000D7B8E" w14:paraId="36FA2B4D" w14:textId="77777777">
        <w:trPr>
          <w:tblCellSpacing w:w="15" w:type="dxa"/>
        </w:trPr>
        <w:tc>
          <w:tcPr>
            <w:tcW w:w="0" w:type="auto"/>
            <w:vAlign w:val="center"/>
            <w:hideMark/>
          </w:tcPr>
          <w:p w14:paraId="466656AD"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DOCUMENT OWNER</w:t>
            </w:r>
          </w:p>
        </w:tc>
        <w:tc>
          <w:tcPr>
            <w:tcW w:w="0" w:type="auto"/>
            <w:vAlign w:val="center"/>
            <w:hideMark/>
          </w:tcPr>
          <w:p w14:paraId="5F180163"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[DOCUMENT OWNER NAME], [DOCUMENT OWNER ROLE]</w:t>
            </w:r>
          </w:p>
        </w:tc>
      </w:tr>
      <w:tr w:rsidR="000D7B8E" w:rsidRPr="000D7B8E" w14:paraId="372DEE26" w14:textId="77777777">
        <w:trPr>
          <w:tblCellSpacing w:w="15" w:type="dxa"/>
        </w:trPr>
        <w:tc>
          <w:tcPr>
            <w:tcW w:w="0" w:type="auto"/>
            <w:vAlign w:val="center"/>
            <w:hideMark/>
          </w:tcPr>
          <w:p w14:paraId="365BF7E0"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VERSION</w:t>
            </w:r>
          </w:p>
        </w:tc>
        <w:tc>
          <w:tcPr>
            <w:tcW w:w="0" w:type="auto"/>
            <w:vAlign w:val="center"/>
            <w:hideMark/>
          </w:tcPr>
          <w:p w14:paraId="01410A1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[VERSION NUMBER]</w:t>
            </w:r>
          </w:p>
        </w:tc>
      </w:tr>
      <w:tr w:rsidR="000D7B8E" w:rsidRPr="000D7B8E" w14:paraId="3360F371" w14:textId="77777777">
        <w:trPr>
          <w:tblCellSpacing w:w="15" w:type="dxa"/>
        </w:trPr>
        <w:tc>
          <w:tcPr>
            <w:tcW w:w="0" w:type="auto"/>
            <w:vAlign w:val="center"/>
            <w:hideMark/>
          </w:tcPr>
          <w:p w14:paraId="78160C0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STATUS</w:t>
            </w:r>
          </w:p>
        </w:tc>
        <w:tc>
          <w:tcPr>
            <w:tcW w:w="0" w:type="auto"/>
            <w:vAlign w:val="center"/>
            <w:hideMark/>
          </w:tcPr>
          <w:p w14:paraId="00D9821B"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SKELETON — NOT FOR ISSUE UNTIL COMPLETED AND REVIEWED BY AN EMPLOYMENT SOLICITOR</w:t>
            </w:r>
          </w:p>
        </w:tc>
      </w:tr>
      <w:tr w:rsidR="000D7B8E" w:rsidRPr="000D7B8E" w14:paraId="7D76EE5B" w14:textId="77777777">
        <w:trPr>
          <w:tblCellSpacing w:w="15" w:type="dxa"/>
        </w:trPr>
        <w:tc>
          <w:tcPr>
            <w:tcW w:w="0" w:type="auto"/>
            <w:vAlign w:val="center"/>
            <w:hideMark/>
          </w:tcPr>
          <w:p w14:paraId="29680148"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b/>
                <w:bCs/>
                <w:kern w:val="0"/>
                <w:lang w:eastAsia="en-GB"/>
                <w14:ligatures w14:val="none"/>
              </w:rPr>
              <w:t>APPLIES FROM</w:t>
            </w:r>
          </w:p>
        </w:tc>
        <w:tc>
          <w:tcPr>
            <w:tcW w:w="0" w:type="auto"/>
            <w:vAlign w:val="center"/>
            <w:hideMark/>
          </w:tcPr>
          <w:p w14:paraId="1605F43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The date of the first employment</w:t>
            </w:r>
          </w:p>
        </w:tc>
      </w:tr>
    </w:tbl>
    <w:p w14:paraId="56A311BB"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16899612">
          <v:rect id="_x0000_i1039" alt="" style="width:451.3pt;height:.05pt;mso-width-percent:0;mso-height-percent:0;mso-width-percent:0;mso-height-percent:0" o:hralign="center" o:hrstd="t" o:hr="t" fillcolor="#a0a0a0" stroked="f"/>
        </w:pict>
      </w:r>
    </w:p>
    <w:p w14:paraId="48EC0DF9"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0. STATUS OF THIS HANDBOOK</w:t>
      </w:r>
    </w:p>
    <w:p w14:paraId="22E0D78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0.1 This Handbook is not part of any contract of employment save in respect of the provisions expressly identified as contractual at paragraph 0.3. The Company may amend the non-contractual provisions at any time.</w:t>
      </w:r>
    </w:p>
    <w:p w14:paraId="26B9609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0.2 The contract of employment prevails in the event of conflict.</w:t>
      </w:r>
    </w:p>
    <w:p w14:paraId="30BB2EB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 xml:space="preserve">0.3 </w:t>
      </w:r>
      <w:r w:rsidRPr="000D7B8E">
        <w:rPr>
          <w:rFonts w:ascii="Times New Roman" w:eastAsia="Times New Roman" w:hAnsi="Times New Roman" w:cs="Times New Roman"/>
          <w:b/>
          <w:bCs/>
          <w:kern w:val="0"/>
          <w:lang w:eastAsia="en-GB"/>
          <w14:ligatures w14:val="none"/>
        </w:rPr>
        <w:t>Contractual provisions:</w:t>
      </w:r>
      <w:r w:rsidRPr="000D7B8E">
        <w:rPr>
          <w:rFonts w:ascii="Times New Roman" w:eastAsia="Times New Roman" w:hAnsi="Times New Roman" w:cs="Times New Roman"/>
          <w:kern w:val="0"/>
          <w:lang w:eastAsia="en-GB"/>
          <w14:ligatures w14:val="none"/>
        </w:rPr>
        <w:t xml:space="preserve"> the confidentiality provisions at Section 6; the intellectual property provisions at Section 7; the data protection and information security provisions at Section 8; the AI use provisions at Section 9; and the deductions authority at paragraph 4.6.</w:t>
      </w:r>
    </w:p>
    <w:p w14:paraId="17FBDC41"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0.4 This Handbook does not apply to Associates, whose relationship with the Company is governed exclusively by the Associate Agreement. Nothing in this Handbook confers any employment right upon any Associate, and no Associate should be issued with it.</w:t>
      </w:r>
    </w:p>
    <w:p w14:paraId="343D5ED0"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3EBD8E7D">
          <v:rect id="_x0000_i1038" alt="" style="width:451.3pt;height:.05pt;mso-width-percent:0;mso-height-percent:0;mso-width-percent:0;mso-height-percent:0" o:hralign="center" o:hrstd="t" o:hr="t" fillcolor="#a0a0a0" stroked="f"/>
        </w:pict>
      </w:r>
    </w:p>
    <w:p w14:paraId="316B2A0E"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1. WELCOME AND HOW WE WORK</w:t>
      </w:r>
    </w:p>
    <w:p w14:paraId="7739226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1.1 What the business does, and why the standard of the written product is the whole of the offering. [TO COMPLETE]</w:t>
      </w:r>
    </w:p>
    <w:p w14:paraId="65EA39B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 The full-lifecycle model: opportunity selection, authorship, mobilisation, debrief. Why we say no to bids that cannot be won.</w:t>
      </w:r>
    </w:p>
    <w:p w14:paraId="65B4E90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1.3 Remote-first working: what that requires of you in practice.</w:t>
      </w:r>
    </w:p>
    <w:p w14:paraId="685CEA04"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lastRenderedPageBreak/>
        <w:t>1.4 Who does what: the Founder (authorship, strategy, quality control, systems); the Finance and Sector Lead (financial sections, NHS procurement, accreditations); the Business Development Lead (client acquisition, opportunity identification).</w:t>
      </w:r>
    </w:p>
    <w:p w14:paraId="4F8A7CEF"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6AB8FFDB">
          <v:rect id="_x0000_i1037" style="width:0;height:1.5pt" o:hralign="center" o:hrstd="t" o:hr="t" fillcolor="#a0a0a0" stroked="f"/>
        </w:pict>
      </w:r>
    </w:p>
    <w:p w14:paraId="0EE7C2BB"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2. YOUR ENGAGEMENT</w:t>
      </w:r>
    </w:p>
    <w:p w14:paraId="6C26349B"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2.1 Probationary period: [PERIOD], with review at [POINT]. Notice during probation: [PERIOD].</w:t>
      </w:r>
    </w:p>
    <w:p w14:paraId="10BD12C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2.2 Notice after probation: [PERIOD] by either party, subject to statutory minimum notice under section 86 of the Employment Rights Act 1996.</w:t>
      </w:r>
    </w:p>
    <w:p w14:paraId="40850D91"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2.3 Right to work: original documents checked before the first day, without exception. This is a legal obligation and a civil penalty follows from getting it wrong.</w:t>
      </w:r>
    </w:p>
    <w:p w14:paraId="4B6647E5"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2.4 References and pre-employment checks. [TO COMPLETE]</w:t>
      </w:r>
    </w:p>
    <w:p w14:paraId="2DE0FC53"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2.5 Job description and how it may change.</w:t>
      </w:r>
    </w:p>
    <w:p w14:paraId="2B3CD7B7"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0C5B6AB2">
          <v:rect id="_x0000_i1036" alt="" style="width:451.3pt;height:.05pt;mso-width-percent:0;mso-height-percent:0;mso-width-percent:0;mso-height-percent:0" o:hralign="center" o:hrstd="t" o:hr="t" fillcolor="#a0a0a0" stroked="f"/>
        </w:pict>
      </w:r>
    </w:p>
    <w:p w14:paraId="582C5FF8"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3. HOURS, PLACE OF WORK AND FLEXIBILITY</w:t>
      </w:r>
    </w:p>
    <w:p w14:paraId="396A9AC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3.1 Normal hours: [HOURS], with flexibility around core hours of [CORE HOURS].</w:t>
      </w:r>
    </w:p>
    <w:p w14:paraId="49C10E3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 xml:space="preserve">3.2 </w:t>
      </w:r>
      <w:r w:rsidRPr="000D7B8E">
        <w:rPr>
          <w:rFonts w:ascii="Times New Roman" w:eastAsia="Times New Roman" w:hAnsi="Times New Roman" w:cs="Times New Roman"/>
          <w:b/>
          <w:bCs/>
          <w:kern w:val="0"/>
          <w:lang w:eastAsia="en-GB"/>
          <w14:ligatures w14:val="none"/>
        </w:rPr>
        <w:t>Deadline periods.</w:t>
      </w:r>
      <w:r w:rsidRPr="000D7B8E">
        <w:rPr>
          <w:rFonts w:ascii="Times New Roman" w:eastAsia="Times New Roman" w:hAnsi="Times New Roman" w:cs="Times New Roman"/>
          <w:kern w:val="0"/>
          <w:lang w:eastAsia="en-GB"/>
          <w14:ligatures w14:val="none"/>
        </w:rPr>
        <w:t xml:space="preserve"> Submission deadlines are set by contracting authorities and cannot be moved. There will be periods of concentrated work before a deadline. In exchange, quieter periods are genuinely quieter and are not filled with make-work. Sustained excessive hours are a planning failure, not a badge of commitment; raise it early.</w:t>
      </w:r>
    </w:p>
    <w:p w14:paraId="0E4B8E8E"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3.3 Working Time Regulations 1998: the Company does not require any opt-out from the 48-hour average limit. Rest breaks and daily and weekly rest periods must be taken.</w:t>
      </w:r>
    </w:p>
    <w:p w14:paraId="03A89C01"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3.4 Homeworking: expectations as to availability, equipment, workspace, and the workstation self-assessment at Part D of the Business Conduct Manual.</w:t>
      </w:r>
    </w:p>
    <w:p w14:paraId="7675919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3.5 Right to request flexible working. [TO COMPLETE]</w:t>
      </w:r>
    </w:p>
    <w:p w14:paraId="175FA67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3.6 Attendance at client sites and travel expectations.</w:t>
      </w:r>
    </w:p>
    <w:p w14:paraId="4B824E97"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3C20C964">
          <v:rect id="_x0000_i1035" style="width:0;height:1.5pt" o:hralign="center" o:hrstd="t" o:hr="t" fillcolor="#a0a0a0" stroked="f"/>
        </w:pict>
      </w:r>
    </w:p>
    <w:p w14:paraId="610DE081"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4. PAY, EXPENSES AND BENEFITS</w:t>
      </w:r>
    </w:p>
    <w:p w14:paraId="6C6A930C"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4.1 Salary: [AMOUNT], paid monthly in arrears on the [DAY] of each month by BACS.</w:t>
      </w:r>
    </w:p>
    <w:p w14:paraId="4F98199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lastRenderedPageBreak/>
        <w:t>4.2 Pay reviews: [FREQUENCY AND BASIS].</w:t>
      </w:r>
    </w:p>
    <w:p w14:paraId="191979DD"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4.3 Bonus or commission arrangements, if any, and whether discretionary or contractual. [TO COMPLETE — DEFINE CLEARLY; AMBIGUITY HERE IS A COMMON SOURCE OF CLAIMS]</w:t>
      </w:r>
    </w:p>
    <w:p w14:paraId="0164D0E1"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4.4 Pension: auto-enrolment obligations arise on the first eligible jobholder's start date, not later. Scheme: [PROVIDER]. Contributions: [EMPLOYER]% / [EMPLOYEE]%. Declaration of compliance to The Pensions Regulator due within five months of the duties start date.</w:t>
      </w:r>
    </w:p>
    <w:p w14:paraId="13AE070E"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4.5 Expenses: policy, approval, receipts, and reimbursement timing.</w:t>
      </w:r>
    </w:p>
    <w:p w14:paraId="16516A3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 xml:space="preserve">4.6 </w:t>
      </w:r>
      <w:r w:rsidRPr="000D7B8E">
        <w:rPr>
          <w:rFonts w:ascii="Times New Roman" w:eastAsia="Times New Roman" w:hAnsi="Times New Roman" w:cs="Times New Roman"/>
          <w:b/>
          <w:bCs/>
          <w:kern w:val="0"/>
          <w:lang w:eastAsia="en-GB"/>
          <w14:ligatures w14:val="none"/>
        </w:rPr>
        <w:t>Deductions.</w:t>
      </w:r>
      <w:r w:rsidRPr="000D7B8E">
        <w:rPr>
          <w:rFonts w:ascii="Times New Roman" w:eastAsia="Times New Roman" w:hAnsi="Times New Roman" w:cs="Times New Roman"/>
          <w:kern w:val="0"/>
          <w:lang w:eastAsia="en-GB"/>
          <w14:ligatures w14:val="none"/>
        </w:rPr>
        <w:t xml:space="preserve"> You authorise the Company to deduct from your pay any overpayment, any outstanding advance, the cost of unreturned equipment, and any training cost repayable under paragraph 11.3. This paragraph is contractual and is the written authorisation required by section 13 of the Employment Rights Act 1996.</w:t>
      </w:r>
    </w:p>
    <w:p w14:paraId="4C64CC49"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68B2E9F9">
          <v:rect id="_x0000_i1034" alt="" style="width:451.3pt;height:.05pt;mso-width-percent:0;mso-height-percent:0;mso-width-percent:0;mso-height-percent:0" o:hralign="center" o:hrstd="t" o:hr="t" fillcolor="#a0a0a0" stroked="f"/>
        </w:pict>
      </w:r>
    </w:p>
    <w:p w14:paraId="51FDD7DC"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5. LEAVE</w:t>
      </w:r>
    </w:p>
    <w:p w14:paraId="124EF22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5.1 Holiday: [DAYS] plus public holidays, per leave year running [DATES]. Statutory minimum is 5.6 weeks including public holidays.</w:t>
      </w:r>
    </w:p>
    <w:p w14:paraId="79ACBD32"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5.2 Booking: notice required, approval, and blackout around submission deadlines. Carry-over rules.</w:t>
      </w:r>
    </w:p>
    <w:p w14:paraId="72E3311B"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5.3 Sickness absence: notification by [TIME] on the first day, self-certification to 7 days, fit note thereafter. Sick pay: [SSP ONLY / COMPANY SCHEME].</w:t>
      </w:r>
    </w:p>
    <w:p w14:paraId="10DFC21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5.4 Family leave: maternity, paternity, adoption, shared parental, parental, neonatal care and carer's leave. Statutory entitlements apply; the Handbook should set out the notification requirements. [TO COMPLETE]</w:t>
      </w:r>
    </w:p>
    <w:p w14:paraId="73258168"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5.5 Time off for dependants, jury service, and bereavement.</w:t>
      </w:r>
    </w:p>
    <w:p w14:paraId="00E2749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5.6 Unpaid leave and sabbaticals: discretionary.</w:t>
      </w:r>
    </w:p>
    <w:p w14:paraId="0A9E5C82"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3781587D">
          <v:rect id="_x0000_i1033" style="width:0;height:1.5pt" o:hralign="center" o:hrstd="t" o:hr="t" fillcolor="#a0a0a0" stroked="f"/>
        </w:pict>
      </w:r>
    </w:p>
    <w:p w14:paraId="784F906F"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 xml:space="preserve">6. CONFIDENTIALITY </w:t>
      </w:r>
      <w:r w:rsidRPr="000D7B8E">
        <w:rPr>
          <w:rFonts w:ascii="Times New Roman" w:eastAsia="Times New Roman" w:hAnsi="Times New Roman" w:cs="Times New Roman"/>
          <w:b/>
          <w:bCs/>
          <w:i/>
          <w:iCs/>
          <w:kern w:val="0"/>
          <w:sz w:val="36"/>
          <w:szCs w:val="36"/>
          <w:lang w:eastAsia="en-GB"/>
          <w14:ligatures w14:val="none"/>
        </w:rPr>
        <w:t>(contractual)</w:t>
      </w:r>
    </w:p>
    <w:p w14:paraId="1F64FA4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6.1 You will have access to client confidential information, contracting authority tender documentation, our templates, our Bid Fit methodology, our Evidence Bank, our pricing and our pipeline. All of it is confidential.</w:t>
      </w:r>
    </w:p>
    <w:p w14:paraId="7FE2794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6.2 You shall not use or disclose any of it save in the proper performance of your duties, and this obligation continues after your employment ends without limit of time.</w:t>
      </w:r>
    </w:p>
    <w:p w14:paraId="2E54039F"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lastRenderedPageBreak/>
        <w:t>6.3 Contracting authority material is treated as confidential to the authority whether or not marked, and every access restriction imposed by an authority is observed in full.</w:t>
      </w:r>
    </w:p>
    <w:p w14:paraId="681BA847"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6.4 You shall not retain any work sample, extract, template or deliverable on leaving, whether identified or anonymised, and shall not use any of it as a portfolio.</w:t>
      </w:r>
    </w:p>
    <w:p w14:paraId="08138A82"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6.5 The confidentiality provisions of your contract of employment supplement this Section.</w:t>
      </w:r>
    </w:p>
    <w:p w14:paraId="70B5411D"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20BF1DD0">
          <v:rect id="_x0000_i1032" alt="" style="width:451.3pt;height:.05pt;mso-width-percent:0;mso-height-percent:0;mso-width-percent:0;mso-height-percent:0" o:hralign="center" o:hrstd="t" o:hr="t" fillcolor="#a0a0a0" stroked="f"/>
        </w:pict>
      </w:r>
    </w:p>
    <w:p w14:paraId="748FF5F6"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 xml:space="preserve">7. INTELLECTUAL PROPERTY </w:t>
      </w:r>
      <w:r w:rsidRPr="000D7B8E">
        <w:rPr>
          <w:rFonts w:ascii="Times New Roman" w:eastAsia="Times New Roman" w:hAnsi="Times New Roman" w:cs="Times New Roman"/>
          <w:b/>
          <w:bCs/>
          <w:i/>
          <w:iCs/>
          <w:kern w:val="0"/>
          <w:sz w:val="36"/>
          <w:szCs w:val="36"/>
          <w:lang w:eastAsia="en-GB"/>
          <w14:ligatures w14:val="none"/>
        </w:rPr>
        <w:t>(contractual)</w:t>
      </w:r>
    </w:p>
    <w:p w14:paraId="51DBC4F1"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7.1 All work you create in the course of your employment belongs to the Company, including every draft, template, scorecard, checklist, case study and development of an existing Company asset.</w:t>
      </w:r>
    </w:p>
    <w:p w14:paraId="771F4503"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7.2 You assign to the Company all intellectual property rights in such work to the extent they do not vest automatically, and waive your moral rights in it.</w:t>
      </w:r>
    </w:p>
    <w:p w14:paraId="05A780C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7.3 You shall execute any document the Company requires to perfect its title.</w:t>
      </w:r>
    </w:p>
    <w:p w14:paraId="0603E900"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1291A6B2">
          <v:rect id="_x0000_i1031" alt="" style="width:451.3pt;height:.05pt;mso-width-percent:0;mso-height-percent:0;mso-width-percent:0;mso-height-percent:0" o:hralign="center" o:hrstd="t" o:hr="t" fillcolor="#a0a0a0" stroked="f"/>
        </w:pict>
      </w:r>
    </w:p>
    <w:p w14:paraId="5F0E59E6"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 xml:space="preserve">8. DATA PROTECTION AND INFORMATION SECURITY </w:t>
      </w:r>
      <w:r w:rsidRPr="000D7B8E">
        <w:rPr>
          <w:rFonts w:ascii="Times New Roman" w:eastAsia="Times New Roman" w:hAnsi="Times New Roman" w:cs="Times New Roman"/>
          <w:b/>
          <w:bCs/>
          <w:i/>
          <w:iCs/>
          <w:kern w:val="0"/>
          <w:sz w:val="36"/>
          <w:szCs w:val="36"/>
          <w:lang w:eastAsia="en-GB"/>
          <w14:ligatures w14:val="none"/>
        </w:rPr>
        <w:t>(contractual)</w:t>
      </w:r>
    </w:p>
    <w:p w14:paraId="449BAF8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8.1 You shall comply with Parts B and D of the Information Governance Manual in full.</w:t>
      </w:r>
    </w:p>
    <w:p w14:paraId="23A9F29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8.2 In particular: multi-factor authentication on every account; full-disk encryption on every device; no personal cloud, personal email or removable media for Company data; no work on unsecured public networks without a VPN; report any lost device, misdirected email or suspected compromise to the Founder within twenty-four hours.</w:t>
      </w:r>
    </w:p>
    <w:p w14:paraId="49CC39D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8.3 There is no penalty for reporting a security incident promptly and in good faith. There is one for concealing it.</w:t>
      </w:r>
    </w:p>
    <w:p w14:paraId="3AD39C5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8.4 Any request from an individual to exercise a data protection right, however informally made, must be passed to the Founder on the day it is received.</w:t>
      </w:r>
    </w:p>
    <w:p w14:paraId="63206D2C"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8.5 Deliberate or reckless misuse of personal data is gross misconduct and may also be a criminal offence under section 170 of the Data Protection Act 2018.</w:t>
      </w:r>
    </w:p>
    <w:p w14:paraId="6E090F18"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4633AC80">
          <v:rect id="_x0000_i1030" style="width:0;height:1.5pt" o:hralign="center" o:hrstd="t" o:hr="t" fillcolor="#a0a0a0" stroked="f"/>
        </w:pict>
      </w:r>
    </w:p>
    <w:p w14:paraId="6C94EAF3"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 xml:space="preserve">9. USE OF AI AND ASSISTIVE TECHNOLOGY </w:t>
      </w:r>
      <w:r w:rsidRPr="000D7B8E">
        <w:rPr>
          <w:rFonts w:ascii="Times New Roman" w:eastAsia="Times New Roman" w:hAnsi="Times New Roman" w:cs="Times New Roman"/>
          <w:b/>
          <w:bCs/>
          <w:i/>
          <w:iCs/>
          <w:kern w:val="0"/>
          <w:sz w:val="36"/>
          <w:szCs w:val="36"/>
          <w:lang w:eastAsia="en-GB"/>
          <w14:ligatures w14:val="none"/>
        </w:rPr>
        <w:t>(contractual)</w:t>
      </w:r>
    </w:p>
    <w:p w14:paraId="28066763"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lastRenderedPageBreak/>
        <w:t>9.1 Part A of the Information Governance Manual applies to you in full.</w:t>
      </w:r>
    </w:p>
    <w:p w14:paraId="18B9053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9.2 The short version: only approved systems, only through Company accounts, never with authority documents, client confidential material or personal data, and never as a substitute for your own authorship.</w:t>
      </w:r>
    </w:p>
    <w:p w14:paraId="0D0A47C2"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9.3 Every fact, statistic, citation and statutory reference produced with AI assistance must be verified against the primary source before it appears in anything a client sees.</w:t>
      </w:r>
    </w:p>
    <w:p w14:paraId="5E6F8E1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9.4 You remain personally accountable for everything you deliver. "The tool produced it" is not an explanation.</w:t>
      </w:r>
    </w:p>
    <w:p w14:paraId="78AB773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9.5 Complete the AI use record for every engagement you work on. It is what allows our clients to answer a contracting authority truthfully.</w:t>
      </w:r>
    </w:p>
    <w:p w14:paraId="6509C89B"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9.6 Breach of this Section is a disciplinary matter and, where it involves inputting confidential authority material into an unapproved system, may be gross misconduct.</w:t>
      </w:r>
    </w:p>
    <w:p w14:paraId="4361C8BC"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36353BDC">
          <v:rect id="_x0000_i1029" alt="" style="width:451.3pt;height:.05pt;mso-width-percent:0;mso-height-percent:0;mso-width-percent:0;mso-height-percent:0" o:hralign="center" o:hrstd="t" o:hr="t" fillcolor="#a0a0a0" stroked="f"/>
        </w:pict>
      </w:r>
    </w:p>
    <w:p w14:paraId="195EB9C1"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10. CONDUCT AND STANDARDS</w:t>
      </w:r>
    </w:p>
    <w:p w14:paraId="6208D257"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10.1 Service boundaries: you must not provide legal, financial or regulated advice, submit on a client portal, calculate emissions figures, verify client assertions, or originate technical content. If a client asks, refer it to the Founder. These boundaries are contractual promises to our clients.</w:t>
      </w:r>
    </w:p>
    <w:p w14:paraId="077A3A69"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10.2 You must never record in a submission a statement you know or suspect to be untrue or incapable of being evidenced. Raise it with the Founder instead.</w:t>
      </w:r>
    </w:p>
    <w:p w14:paraId="771F89B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10.3 Anti-bribery: Part A of the Business Conduct Manual applies to you in full. Nothing may be given to or accepted from any contracting authority contact, at any value, at any time.</w:t>
      </w:r>
    </w:p>
    <w:p w14:paraId="0FF2F478"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10.4 Conflicts: declare any personal interest, relationship or outside engagement that touches a client, competitor or authority.</w:t>
      </w:r>
    </w:p>
    <w:p w14:paraId="769961E7"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10.5 Outside employment and other business interests require written approval.</w:t>
      </w:r>
    </w:p>
    <w:p w14:paraId="754DD19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10.6 Social media: no client, authority or opportunity is discussed publicly. Nothing is posted that identifies work in progress.</w:t>
      </w:r>
    </w:p>
    <w:p w14:paraId="456EF65C"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10.7 Equal opportunity and anti-harassment. The Company has a duty under section 40A of the Equality Act 2010 to take reasonable steps to prevent sexual harassment of employees, including by third parties. [TO COMPLETE — SEPARATE POLICY REQUIRED]</w:t>
      </w:r>
    </w:p>
    <w:p w14:paraId="4CEDF32D"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10.8 Whistleblowing: how to raise a concern, to whom, and the protection given. [TO COMPLETE]</w:t>
      </w:r>
    </w:p>
    <w:p w14:paraId="5F96D153"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61FB9874">
          <v:rect id="_x0000_i1028" style="width:0;height:1.5pt" o:hralign="center" o:hrstd="t" o:hr="t" fillcolor="#a0a0a0" stroked="f"/>
        </w:pict>
      </w:r>
    </w:p>
    <w:p w14:paraId="37E93E09"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lastRenderedPageBreak/>
        <w:t>11. DEVELOPMENT</w:t>
      </w:r>
    </w:p>
    <w:p w14:paraId="09FDB3CB"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11.1 Professional development is funded where it supports the business: APMP Foundation, Cyber Essentials, and thereafter APMP Practitioner and the ICA Certificate in Compliance.</w:t>
      </w:r>
    </w:p>
    <w:p w14:paraId="64E72206"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11.2 Approval process and how to request funding.</w:t>
      </w:r>
    </w:p>
    <w:p w14:paraId="121131A0"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 xml:space="preserve">11.3 </w:t>
      </w:r>
      <w:r w:rsidRPr="000D7B8E">
        <w:rPr>
          <w:rFonts w:ascii="Times New Roman" w:eastAsia="Times New Roman" w:hAnsi="Times New Roman" w:cs="Times New Roman"/>
          <w:b/>
          <w:bCs/>
          <w:kern w:val="0"/>
          <w:lang w:eastAsia="en-GB"/>
          <w14:ligatures w14:val="none"/>
        </w:rPr>
        <w:t>Training cost repayment.</w:t>
      </w:r>
      <w:r w:rsidRPr="000D7B8E">
        <w:rPr>
          <w:rFonts w:ascii="Times New Roman" w:eastAsia="Times New Roman" w:hAnsi="Times New Roman" w:cs="Times New Roman"/>
          <w:kern w:val="0"/>
          <w:lang w:eastAsia="en-GB"/>
          <w14:ligatures w14:val="none"/>
        </w:rPr>
        <w:t xml:space="preserve"> Where the Company funds a qualification and you leave within twelve months of the cost being incurred, a proportion is repayable on a sliding scale: 100% within six months, 50% between six and twelve months. This mirrors the claw-back applying to Directors. This paragraph is contractual and is enforceable only as a genuine pre-estimate of the Company's loss, not as a penalty; the scale is set accordingly.</w:t>
      </w:r>
    </w:p>
    <w:p w14:paraId="38A97AC0"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614DC2CB">
          <v:rect id="_x0000_i1027" alt="" style="width:451.3pt;height:.05pt;mso-width-percent:0;mso-height-percent:0;mso-width-percent:0;mso-height-percent:0" o:hralign="center" o:hrstd="t" o:hr="t" fillcolor="#a0a0a0" stroked="f"/>
        </w:pict>
      </w:r>
    </w:p>
    <w:p w14:paraId="58D6F75B"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12. PERFORMANCE, DISCIPLINE AND GRIEVANCE</w:t>
      </w:r>
    </w:p>
    <w:p w14:paraId="49DC5592"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12.1 Performance management: objectives, review frequency, and the informal-first approach.</w:t>
      </w:r>
    </w:p>
    <w:p w14:paraId="24CB9104"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12.2 Disciplinary procedure: aligned to the Acas Code of Practice on disciplinary and grievance procedures. Unreasonable failure to follow the Code allows a tribunal to adjust compensation by up to 25%. [TO COMPLETE — FULL PROCEDURE REQUIRED]</w:t>
      </w:r>
    </w:p>
    <w:p w14:paraId="30870B2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12.3 Examples of misconduct and gross misconduct, to include: breach of client or authority confidentiality; inputting confidential material into an unapproved AI system; falsifying content in a submission; concealing a security incident; breach of the anti-bribery policy.</w:t>
      </w:r>
    </w:p>
    <w:p w14:paraId="47C41363"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12.4 Grievance procedure: aligned to the Acas Code. [TO COMPLETE]</w:t>
      </w:r>
    </w:p>
    <w:p w14:paraId="4828A198"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12.5 Right to be accompanied at disciplinary and grievance hearings.</w:t>
      </w:r>
    </w:p>
    <w:p w14:paraId="59CC1BE2"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2F72E164">
          <v:rect id="_x0000_i1026" alt="" style="width:451.3pt;height:.05pt;mso-width-percent:0;mso-height-percent:0;mso-width-percent:0;mso-height-percent:0" o:hralign="center" o:hrstd="t" o:hr="t" fillcolor="#a0a0a0" stroked="f"/>
        </w:pict>
      </w:r>
    </w:p>
    <w:p w14:paraId="06569AE0"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13. LEAVING</w:t>
      </w:r>
    </w:p>
    <w:p w14:paraId="43803AD2"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13.1 Notice and handover expectations, including delivery up of all work in progress in editable form.</w:t>
      </w:r>
    </w:p>
    <w:p w14:paraId="295D7404"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13.2 Return of equipment and revocation of access, per Annex B.1 of the Information Governance Manual.</w:t>
      </w:r>
    </w:p>
    <w:p w14:paraId="01387C3F"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13.3 Deletion of Company and client data from any personal device or account, with written confirmation.</w:t>
      </w:r>
    </w:p>
    <w:p w14:paraId="6F03389A"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13.4 Continuing obligations: confidentiality, intellectual property, and any post-termination restrictions in your contract.</w:t>
      </w:r>
    </w:p>
    <w:p w14:paraId="699F633B" w14:textId="77777777" w:rsidR="000D7B8E" w:rsidRPr="000D7B8E" w:rsidRDefault="000D7B8E" w:rsidP="000D7B8E">
      <w:pPr>
        <w:spacing w:before="100" w:beforeAutospacing="1" w:after="100" w:afterAutospacing="1"/>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lastRenderedPageBreak/>
        <w:t>13.5 References: what the Company will and will not provide.</w:t>
      </w:r>
    </w:p>
    <w:p w14:paraId="22AEBA68" w14:textId="77777777" w:rsidR="000D7B8E" w:rsidRPr="000D7B8E" w:rsidRDefault="00EE5725" w:rsidP="000D7B8E">
      <w:pPr>
        <w:rPr>
          <w:rFonts w:ascii="Times New Roman" w:eastAsia="Times New Roman" w:hAnsi="Times New Roman" w:cs="Times New Roman"/>
          <w:kern w:val="0"/>
          <w:lang w:eastAsia="en-GB"/>
          <w14:ligatures w14:val="none"/>
        </w:rPr>
      </w:pPr>
      <w:r w:rsidRPr="00EE5725">
        <w:rPr>
          <w:rFonts w:ascii="Times New Roman" w:eastAsia="Times New Roman" w:hAnsi="Times New Roman" w:cs="Times New Roman"/>
          <w:noProof/>
          <w:kern w:val="0"/>
          <w:lang w:eastAsia="en-GB"/>
        </w:rPr>
        <w:pict w14:anchorId="7B28F724">
          <v:rect id="_x0000_i1025" style="width:0;height:1.5pt" o:hralign="center" o:hrstd="t" o:hr="t" fillcolor="#a0a0a0" stroked="f"/>
        </w:pict>
      </w:r>
    </w:p>
    <w:p w14:paraId="2431F7CF" w14:textId="77777777" w:rsidR="000D7B8E" w:rsidRPr="000D7B8E" w:rsidRDefault="000D7B8E" w:rsidP="000D7B8E">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0D7B8E">
        <w:rPr>
          <w:rFonts w:ascii="Times New Roman" w:eastAsia="Times New Roman" w:hAnsi="Times New Roman" w:cs="Times New Roman"/>
          <w:b/>
          <w:bCs/>
          <w:kern w:val="0"/>
          <w:sz w:val="36"/>
          <w:szCs w:val="36"/>
          <w:lang w:eastAsia="en-GB"/>
          <w14:ligatures w14:val="none"/>
        </w:rPr>
        <w:t>14. DOCUMENTS TO PREPARE BEFORE THE FIRST EMPLOYEE STARTS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3776"/>
        <w:gridCol w:w="3626"/>
        <w:gridCol w:w="1009"/>
      </w:tblGrid>
      <w:tr w:rsidR="000D7B8E" w:rsidRPr="000D7B8E" w14:paraId="0595FC77" w14:textId="77777777">
        <w:trPr>
          <w:tblHeader/>
          <w:tblCellSpacing w:w="15" w:type="dxa"/>
        </w:trPr>
        <w:tc>
          <w:tcPr>
            <w:tcW w:w="0" w:type="auto"/>
            <w:vAlign w:val="center"/>
            <w:hideMark/>
          </w:tcPr>
          <w:p w14:paraId="2BFC7360" w14:textId="77777777" w:rsidR="000D7B8E" w:rsidRPr="000D7B8E" w:rsidRDefault="000D7B8E" w:rsidP="000D7B8E">
            <w:pPr>
              <w:jc w:val="center"/>
              <w:rPr>
                <w:rFonts w:ascii="Times New Roman" w:eastAsia="Times New Roman" w:hAnsi="Times New Roman" w:cs="Times New Roman"/>
                <w:b/>
                <w:bCs/>
                <w:kern w:val="0"/>
                <w:lang w:eastAsia="en-GB"/>
                <w14:ligatures w14:val="none"/>
              </w:rPr>
            </w:pPr>
            <w:r w:rsidRPr="000D7B8E">
              <w:rPr>
                <w:rFonts w:ascii="Times New Roman" w:eastAsia="Times New Roman" w:hAnsi="Times New Roman" w:cs="Times New Roman"/>
                <w:b/>
                <w:bCs/>
                <w:kern w:val="0"/>
                <w:lang w:eastAsia="en-GB"/>
                <w14:ligatures w14:val="none"/>
              </w:rPr>
              <w:t>REF</w:t>
            </w:r>
          </w:p>
        </w:tc>
        <w:tc>
          <w:tcPr>
            <w:tcW w:w="0" w:type="auto"/>
            <w:vAlign w:val="center"/>
            <w:hideMark/>
          </w:tcPr>
          <w:p w14:paraId="0EE3060A" w14:textId="77777777" w:rsidR="000D7B8E" w:rsidRPr="000D7B8E" w:rsidRDefault="000D7B8E" w:rsidP="000D7B8E">
            <w:pPr>
              <w:jc w:val="center"/>
              <w:rPr>
                <w:rFonts w:ascii="Times New Roman" w:eastAsia="Times New Roman" w:hAnsi="Times New Roman" w:cs="Times New Roman"/>
                <w:b/>
                <w:bCs/>
                <w:kern w:val="0"/>
                <w:lang w:eastAsia="en-GB"/>
                <w14:ligatures w14:val="none"/>
              </w:rPr>
            </w:pPr>
            <w:r w:rsidRPr="000D7B8E">
              <w:rPr>
                <w:rFonts w:ascii="Times New Roman" w:eastAsia="Times New Roman" w:hAnsi="Times New Roman" w:cs="Times New Roman"/>
                <w:b/>
                <w:bCs/>
                <w:kern w:val="0"/>
                <w:lang w:eastAsia="en-GB"/>
                <w14:ligatures w14:val="none"/>
              </w:rPr>
              <w:t>DOCUMENT OR ACTION</w:t>
            </w:r>
          </w:p>
        </w:tc>
        <w:tc>
          <w:tcPr>
            <w:tcW w:w="0" w:type="auto"/>
            <w:vAlign w:val="center"/>
            <w:hideMark/>
          </w:tcPr>
          <w:p w14:paraId="366B7125" w14:textId="77777777" w:rsidR="000D7B8E" w:rsidRPr="000D7B8E" w:rsidRDefault="000D7B8E" w:rsidP="000D7B8E">
            <w:pPr>
              <w:jc w:val="center"/>
              <w:rPr>
                <w:rFonts w:ascii="Times New Roman" w:eastAsia="Times New Roman" w:hAnsi="Times New Roman" w:cs="Times New Roman"/>
                <w:b/>
                <w:bCs/>
                <w:kern w:val="0"/>
                <w:lang w:eastAsia="en-GB"/>
                <w14:ligatures w14:val="none"/>
              </w:rPr>
            </w:pPr>
            <w:r w:rsidRPr="000D7B8E">
              <w:rPr>
                <w:rFonts w:ascii="Times New Roman" w:eastAsia="Times New Roman" w:hAnsi="Times New Roman" w:cs="Times New Roman"/>
                <w:b/>
                <w:bCs/>
                <w:kern w:val="0"/>
                <w:lang w:eastAsia="en-GB"/>
                <w14:ligatures w14:val="none"/>
              </w:rPr>
              <w:t>WHY</w:t>
            </w:r>
          </w:p>
        </w:tc>
        <w:tc>
          <w:tcPr>
            <w:tcW w:w="0" w:type="auto"/>
            <w:vAlign w:val="center"/>
            <w:hideMark/>
          </w:tcPr>
          <w:p w14:paraId="52E0652B" w14:textId="77777777" w:rsidR="000D7B8E" w:rsidRPr="000D7B8E" w:rsidRDefault="000D7B8E" w:rsidP="000D7B8E">
            <w:pPr>
              <w:jc w:val="center"/>
              <w:rPr>
                <w:rFonts w:ascii="Times New Roman" w:eastAsia="Times New Roman" w:hAnsi="Times New Roman" w:cs="Times New Roman"/>
                <w:b/>
                <w:bCs/>
                <w:kern w:val="0"/>
                <w:lang w:eastAsia="en-GB"/>
                <w14:ligatures w14:val="none"/>
              </w:rPr>
            </w:pPr>
            <w:r w:rsidRPr="000D7B8E">
              <w:rPr>
                <w:rFonts w:ascii="Times New Roman" w:eastAsia="Times New Roman" w:hAnsi="Times New Roman" w:cs="Times New Roman"/>
                <w:b/>
                <w:bCs/>
                <w:kern w:val="0"/>
                <w:lang w:eastAsia="en-GB"/>
                <w14:ligatures w14:val="none"/>
              </w:rPr>
              <w:t>STATUS</w:t>
            </w:r>
          </w:p>
        </w:tc>
      </w:tr>
      <w:tr w:rsidR="000D7B8E" w:rsidRPr="000D7B8E" w14:paraId="3CD1563F" w14:textId="77777777">
        <w:trPr>
          <w:tblCellSpacing w:w="15" w:type="dxa"/>
        </w:trPr>
        <w:tc>
          <w:tcPr>
            <w:tcW w:w="0" w:type="auto"/>
            <w:vAlign w:val="center"/>
            <w:hideMark/>
          </w:tcPr>
          <w:p w14:paraId="66030C8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14.1</w:t>
            </w:r>
          </w:p>
        </w:tc>
        <w:tc>
          <w:tcPr>
            <w:tcW w:w="0" w:type="auto"/>
            <w:vAlign w:val="center"/>
            <w:hideMark/>
          </w:tcPr>
          <w:p w14:paraId="1E04E386"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Written statement of employment particulars</w:t>
            </w:r>
          </w:p>
        </w:tc>
        <w:tc>
          <w:tcPr>
            <w:tcW w:w="0" w:type="auto"/>
            <w:vAlign w:val="center"/>
            <w:hideMark/>
          </w:tcPr>
          <w:p w14:paraId="3C9959E8"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 xml:space="preserve">Required by section 1 Employment Rights Act 1996, </w:t>
            </w:r>
            <w:r w:rsidRPr="000D7B8E">
              <w:rPr>
                <w:rFonts w:ascii="Times New Roman" w:eastAsia="Times New Roman" w:hAnsi="Times New Roman" w:cs="Times New Roman"/>
                <w:b/>
                <w:bCs/>
                <w:kern w:val="0"/>
                <w:lang w:eastAsia="en-GB"/>
                <w14:ligatures w14:val="none"/>
              </w:rPr>
              <w:t>on or before the first day</w:t>
            </w:r>
          </w:p>
        </w:tc>
        <w:tc>
          <w:tcPr>
            <w:tcW w:w="0" w:type="auto"/>
            <w:vAlign w:val="center"/>
            <w:hideMark/>
          </w:tcPr>
          <w:p w14:paraId="621AE508"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45DBD93C" w14:textId="77777777">
        <w:trPr>
          <w:tblCellSpacing w:w="15" w:type="dxa"/>
        </w:trPr>
        <w:tc>
          <w:tcPr>
            <w:tcW w:w="0" w:type="auto"/>
            <w:vAlign w:val="center"/>
            <w:hideMark/>
          </w:tcPr>
          <w:p w14:paraId="45E68FC5"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14.2</w:t>
            </w:r>
          </w:p>
        </w:tc>
        <w:tc>
          <w:tcPr>
            <w:tcW w:w="0" w:type="auto"/>
            <w:vAlign w:val="center"/>
            <w:hideMark/>
          </w:tcPr>
          <w:p w14:paraId="39264D16"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Full contract of employment, including confidentiality, IP and restrictive covenants</w:t>
            </w:r>
          </w:p>
        </w:tc>
        <w:tc>
          <w:tcPr>
            <w:tcW w:w="0" w:type="auto"/>
            <w:vAlign w:val="center"/>
            <w:hideMark/>
          </w:tcPr>
          <w:p w14:paraId="0D681AA3"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The statutory statement alone is not a contract</w:t>
            </w:r>
          </w:p>
        </w:tc>
        <w:tc>
          <w:tcPr>
            <w:tcW w:w="0" w:type="auto"/>
            <w:vAlign w:val="center"/>
            <w:hideMark/>
          </w:tcPr>
          <w:p w14:paraId="6DD2AA4A"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37B1738E" w14:textId="77777777">
        <w:trPr>
          <w:tblCellSpacing w:w="15" w:type="dxa"/>
        </w:trPr>
        <w:tc>
          <w:tcPr>
            <w:tcW w:w="0" w:type="auto"/>
            <w:vAlign w:val="center"/>
            <w:hideMark/>
          </w:tcPr>
          <w:p w14:paraId="1E29B27C"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14.3</w:t>
            </w:r>
          </w:p>
        </w:tc>
        <w:tc>
          <w:tcPr>
            <w:tcW w:w="0" w:type="auto"/>
            <w:vAlign w:val="center"/>
            <w:hideMark/>
          </w:tcPr>
          <w:p w14:paraId="40B0F0CD"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Employers' liability insurance and certificate</w:t>
            </w:r>
          </w:p>
        </w:tc>
        <w:tc>
          <w:tcPr>
            <w:tcW w:w="0" w:type="auto"/>
            <w:vAlign w:val="center"/>
            <w:hideMark/>
          </w:tcPr>
          <w:p w14:paraId="5F12B353"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Compulsory from the first employee</w:t>
            </w:r>
          </w:p>
        </w:tc>
        <w:tc>
          <w:tcPr>
            <w:tcW w:w="0" w:type="auto"/>
            <w:vAlign w:val="center"/>
            <w:hideMark/>
          </w:tcPr>
          <w:p w14:paraId="6B76629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4AD28CB7" w14:textId="77777777">
        <w:trPr>
          <w:tblCellSpacing w:w="15" w:type="dxa"/>
        </w:trPr>
        <w:tc>
          <w:tcPr>
            <w:tcW w:w="0" w:type="auto"/>
            <w:vAlign w:val="center"/>
            <w:hideMark/>
          </w:tcPr>
          <w:p w14:paraId="2DAADEB0"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14.4</w:t>
            </w:r>
          </w:p>
        </w:tc>
        <w:tc>
          <w:tcPr>
            <w:tcW w:w="0" w:type="auto"/>
            <w:vAlign w:val="center"/>
            <w:hideMark/>
          </w:tcPr>
          <w:p w14:paraId="0F2DC016"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Pension auto-enrolment scheme and declaration of compliance</w:t>
            </w:r>
          </w:p>
        </w:tc>
        <w:tc>
          <w:tcPr>
            <w:tcW w:w="0" w:type="auto"/>
            <w:vAlign w:val="center"/>
            <w:hideMark/>
          </w:tcPr>
          <w:p w14:paraId="692EBDAB"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Duties start on the first eligible jobholder's start date</w:t>
            </w:r>
          </w:p>
        </w:tc>
        <w:tc>
          <w:tcPr>
            <w:tcW w:w="0" w:type="auto"/>
            <w:vAlign w:val="center"/>
            <w:hideMark/>
          </w:tcPr>
          <w:p w14:paraId="412F335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5263B418" w14:textId="77777777">
        <w:trPr>
          <w:tblCellSpacing w:w="15" w:type="dxa"/>
        </w:trPr>
        <w:tc>
          <w:tcPr>
            <w:tcW w:w="0" w:type="auto"/>
            <w:vAlign w:val="center"/>
            <w:hideMark/>
          </w:tcPr>
          <w:p w14:paraId="0A6D3415"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14.5</w:t>
            </w:r>
          </w:p>
        </w:tc>
        <w:tc>
          <w:tcPr>
            <w:tcW w:w="0" w:type="auto"/>
            <w:vAlign w:val="center"/>
            <w:hideMark/>
          </w:tcPr>
          <w:p w14:paraId="1A73B6D0"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PAYE registration with HMRC</w:t>
            </w:r>
          </w:p>
        </w:tc>
        <w:tc>
          <w:tcPr>
            <w:tcW w:w="0" w:type="auto"/>
            <w:vAlign w:val="center"/>
            <w:hideMark/>
          </w:tcPr>
          <w:p w14:paraId="64391158"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Before the first payday</w:t>
            </w:r>
          </w:p>
        </w:tc>
        <w:tc>
          <w:tcPr>
            <w:tcW w:w="0" w:type="auto"/>
            <w:vAlign w:val="center"/>
            <w:hideMark/>
          </w:tcPr>
          <w:p w14:paraId="7C5B3741"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3D4DF342" w14:textId="77777777">
        <w:trPr>
          <w:tblCellSpacing w:w="15" w:type="dxa"/>
        </w:trPr>
        <w:tc>
          <w:tcPr>
            <w:tcW w:w="0" w:type="auto"/>
            <w:vAlign w:val="center"/>
            <w:hideMark/>
          </w:tcPr>
          <w:p w14:paraId="5600E3BE"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14.6</w:t>
            </w:r>
          </w:p>
        </w:tc>
        <w:tc>
          <w:tcPr>
            <w:tcW w:w="0" w:type="auto"/>
            <w:vAlign w:val="center"/>
            <w:hideMark/>
          </w:tcPr>
          <w:p w14:paraId="7B2DE6DB"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Right to work check, documents copied and dated</w:t>
            </w:r>
          </w:p>
        </w:tc>
        <w:tc>
          <w:tcPr>
            <w:tcW w:w="0" w:type="auto"/>
            <w:vAlign w:val="center"/>
            <w:hideMark/>
          </w:tcPr>
          <w:p w14:paraId="2AFE62E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Civil penalty for failure</w:t>
            </w:r>
          </w:p>
        </w:tc>
        <w:tc>
          <w:tcPr>
            <w:tcW w:w="0" w:type="auto"/>
            <w:vAlign w:val="center"/>
            <w:hideMark/>
          </w:tcPr>
          <w:p w14:paraId="7C254827"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48825454" w14:textId="77777777">
        <w:trPr>
          <w:tblCellSpacing w:w="15" w:type="dxa"/>
        </w:trPr>
        <w:tc>
          <w:tcPr>
            <w:tcW w:w="0" w:type="auto"/>
            <w:vAlign w:val="center"/>
            <w:hideMark/>
          </w:tcPr>
          <w:p w14:paraId="727A04D0"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14.7</w:t>
            </w:r>
          </w:p>
        </w:tc>
        <w:tc>
          <w:tcPr>
            <w:tcW w:w="0" w:type="auto"/>
            <w:vAlign w:val="center"/>
            <w:hideMark/>
          </w:tcPr>
          <w:p w14:paraId="4E17979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Documented health and safety risk assessment</w:t>
            </w:r>
          </w:p>
        </w:tc>
        <w:tc>
          <w:tcPr>
            <w:tcW w:w="0" w:type="auto"/>
            <w:vAlign w:val="center"/>
            <w:hideMark/>
          </w:tcPr>
          <w:p w14:paraId="7A1FA1F8"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Required; written policy required at five employees</w:t>
            </w:r>
          </w:p>
        </w:tc>
        <w:tc>
          <w:tcPr>
            <w:tcW w:w="0" w:type="auto"/>
            <w:vAlign w:val="center"/>
            <w:hideMark/>
          </w:tcPr>
          <w:p w14:paraId="2A959BA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6149C6BA" w14:textId="77777777">
        <w:trPr>
          <w:tblCellSpacing w:w="15" w:type="dxa"/>
        </w:trPr>
        <w:tc>
          <w:tcPr>
            <w:tcW w:w="0" w:type="auto"/>
            <w:vAlign w:val="center"/>
            <w:hideMark/>
          </w:tcPr>
          <w:p w14:paraId="4AE9E67E"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14.8</w:t>
            </w:r>
          </w:p>
        </w:tc>
        <w:tc>
          <w:tcPr>
            <w:tcW w:w="0" w:type="auto"/>
            <w:vAlign w:val="center"/>
            <w:hideMark/>
          </w:tcPr>
          <w:p w14:paraId="0A3C50A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Employee privacy notice</w:t>
            </w:r>
          </w:p>
        </w:tc>
        <w:tc>
          <w:tcPr>
            <w:tcW w:w="0" w:type="auto"/>
            <w:vAlign w:val="center"/>
            <w:hideMark/>
          </w:tcPr>
          <w:p w14:paraId="46EF118D"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Article 13 UK GDPR, at the point of collection</w:t>
            </w:r>
          </w:p>
        </w:tc>
        <w:tc>
          <w:tcPr>
            <w:tcW w:w="0" w:type="auto"/>
            <w:vAlign w:val="center"/>
            <w:hideMark/>
          </w:tcPr>
          <w:p w14:paraId="5C8123DD"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48C2E929" w14:textId="77777777">
        <w:trPr>
          <w:tblCellSpacing w:w="15" w:type="dxa"/>
        </w:trPr>
        <w:tc>
          <w:tcPr>
            <w:tcW w:w="0" w:type="auto"/>
            <w:vAlign w:val="center"/>
            <w:hideMark/>
          </w:tcPr>
          <w:p w14:paraId="6659A78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14.9</w:t>
            </w:r>
          </w:p>
        </w:tc>
        <w:tc>
          <w:tcPr>
            <w:tcW w:w="0" w:type="auto"/>
            <w:vAlign w:val="center"/>
            <w:hideMark/>
          </w:tcPr>
          <w:p w14:paraId="187DF88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Disciplinary and grievance procedures compliant with the Acas Code</w:t>
            </w:r>
          </w:p>
        </w:tc>
        <w:tc>
          <w:tcPr>
            <w:tcW w:w="0" w:type="auto"/>
            <w:vAlign w:val="center"/>
            <w:hideMark/>
          </w:tcPr>
          <w:p w14:paraId="33B5571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Compensation uplift risk</w:t>
            </w:r>
          </w:p>
        </w:tc>
        <w:tc>
          <w:tcPr>
            <w:tcW w:w="0" w:type="auto"/>
            <w:vAlign w:val="center"/>
            <w:hideMark/>
          </w:tcPr>
          <w:p w14:paraId="4EDB290E"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3A8C6DCA" w14:textId="77777777">
        <w:trPr>
          <w:tblCellSpacing w:w="15" w:type="dxa"/>
        </w:trPr>
        <w:tc>
          <w:tcPr>
            <w:tcW w:w="0" w:type="auto"/>
            <w:vAlign w:val="center"/>
            <w:hideMark/>
          </w:tcPr>
          <w:p w14:paraId="78779305"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14.10</w:t>
            </w:r>
          </w:p>
        </w:tc>
        <w:tc>
          <w:tcPr>
            <w:tcW w:w="0" w:type="auto"/>
            <w:vAlign w:val="center"/>
            <w:hideMark/>
          </w:tcPr>
          <w:p w14:paraId="1E5031D0"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Sexual harassment prevention policy and risk assessment</w:t>
            </w:r>
          </w:p>
        </w:tc>
        <w:tc>
          <w:tcPr>
            <w:tcW w:w="0" w:type="auto"/>
            <w:vAlign w:val="center"/>
            <w:hideMark/>
          </w:tcPr>
          <w:p w14:paraId="0593A9F2"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Section 40A Equality Act 2010 preventative duty</w:t>
            </w:r>
          </w:p>
        </w:tc>
        <w:tc>
          <w:tcPr>
            <w:tcW w:w="0" w:type="auto"/>
            <w:vAlign w:val="center"/>
            <w:hideMark/>
          </w:tcPr>
          <w:p w14:paraId="0CEB50EE"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4A6D7661" w14:textId="77777777">
        <w:trPr>
          <w:tblCellSpacing w:w="15" w:type="dxa"/>
        </w:trPr>
        <w:tc>
          <w:tcPr>
            <w:tcW w:w="0" w:type="auto"/>
            <w:vAlign w:val="center"/>
            <w:hideMark/>
          </w:tcPr>
          <w:p w14:paraId="385CA21E"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14.11</w:t>
            </w:r>
          </w:p>
        </w:tc>
        <w:tc>
          <w:tcPr>
            <w:tcW w:w="0" w:type="auto"/>
            <w:vAlign w:val="center"/>
            <w:hideMark/>
          </w:tcPr>
          <w:p w14:paraId="54C43A87"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ROPA updated to include employee data</w:t>
            </w:r>
          </w:p>
        </w:tc>
        <w:tc>
          <w:tcPr>
            <w:tcW w:w="0" w:type="auto"/>
            <w:vAlign w:val="center"/>
            <w:hideMark/>
          </w:tcPr>
          <w:p w14:paraId="070640E3"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Article 30</w:t>
            </w:r>
          </w:p>
        </w:tc>
        <w:tc>
          <w:tcPr>
            <w:tcW w:w="0" w:type="auto"/>
            <w:vAlign w:val="center"/>
            <w:hideMark/>
          </w:tcPr>
          <w:p w14:paraId="15F3F0E6"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r w:rsidR="000D7B8E" w:rsidRPr="000D7B8E" w14:paraId="34B08043" w14:textId="77777777">
        <w:trPr>
          <w:tblCellSpacing w:w="15" w:type="dxa"/>
        </w:trPr>
        <w:tc>
          <w:tcPr>
            <w:tcW w:w="0" w:type="auto"/>
            <w:vAlign w:val="center"/>
            <w:hideMark/>
          </w:tcPr>
          <w:p w14:paraId="6463445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14.12</w:t>
            </w:r>
          </w:p>
        </w:tc>
        <w:tc>
          <w:tcPr>
            <w:tcW w:w="0" w:type="auto"/>
            <w:vAlign w:val="center"/>
            <w:hideMark/>
          </w:tcPr>
          <w:p w14:paraId="4F42E83F"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This Handbook completed and issued</w:t>
            </w:r>
          </w:p>
        </w:tc>
        <w:tc>
          <w:tcPr>
            <w:tcW w:w="0" w:type="auto"/>
            <w:vAlign w:val="center"/>
            <w:hideMark/>
          </w:tcPr>
          <w:p w14:paraId="54D49CC4" w14:textId="77777777" w:rsidR="000D7B8E" w:rsidRPr="000D7B8E" w:rsidRDefault="000D7B8E" w:rsidP="000D7B8E">
            <w:pPr>
              <w:rPr>
                <w:rFonts w:ascii="Times New Roman" w:eastAsia="Times New Roman" w:hAnsi="Times New Roman" w:cs="Times New Roman"/>
                <w:kern w:val="0"/>
                <w:lang w:eastAsia="en-GB"/>
                <w14:ligatures w14:val="none"/>
              </w:rPr>
            </w:pPr>
          </w:p>
        </w:tc>
        <w:tc>
          <w:tcPr>
            <w:tcW w:w="0" w:type="auto"/>
            <w:vAlign w:val="center"/>
            <w:hideMark/>
          </w:tcPr>
          <w:p w14:paraId="7B8EE9E9" w14:textId="77777777" w:rsidR="000D7B8E" w:rsidRPr="000D7B8E" w:rsidRDefault="000D7B8E" w:rsidP="000D7B8E">
            <w:pPr>
              <w:rPr>
                <w:rFonts w:ascii="Times New Roman" w:eastAsia="Times New Roman" w:hAnsi="Times New Roman" w:cs="Times New Roman"/>
                <w:kern w:val="0"/>
                <w:lang w:eastAsia="en-GB"/>
                <w14:ligatures w14:val="none"/>
              </w:rPr>
            </w:pPr>
            <w:r w:rsidRPr="000D7B8E">
              <w:rPr>
                <w:rFonts w:ascii="Times New Roman" w:eastAsia="Times New Roman" w:hAnsi="Times New Roman" w:cs="Times New Roman"/>
                <w:kern w:val="0"/>
                <w:lang w:eastAsia="en-GB"/>
                <w14:ligatures w14:val="none"/>
              </w:rPr>
              <w:t>[●]</w:t>
            </w:r>
          </w:p>
        </w:tc>
      </w:tr>
    </w:tbl>
    <w:p w14:paraId="011712CE"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B8E"/>
    <w:rsid w:val="000D7B8E"/>
    <w:rsid w:val="003E4C6F"/>
    <w:rsid w:val="006E783B"/>
    <w:rsid w:val="00EE1BBE"/>
    <w:rsid w:val="00EE57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4566D"/>
  <w15:chartTrackingRefBased/>
  <w15:docId w15:val="{0483B652-4279-9243-9BF1-472932E1B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B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B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B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B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7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B8E"/>
    <w:rPr>
      <w:rFonts w:eastAsiaTheme="majorEastAsia" w:cstheme="majorBidi"/>
      <w:color w:val="272727" w:themeColor="text1" w:themeTint="D8"/>
    </w:rPr>
  </w:style>
  <w:style w:type="paragraph" w:styleId="Title">
    <w:name w:val="Title"/>
    <w:basedOn w:val="Normal"/>
    <w:next w:val="Normal"/>
    <w:link w:val="TitleChar"/>
    <w:uiPriority w:val="10"/>
    <w:qFormat/>
    <w:rsid w:val="000D7B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B8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B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7B8E"/>
    <w:rPr>
      <w:i/>
      <w:iCs/>
      <w:color w:val="404040" w:themeColor="text1" w:themeTint="BF"/>
    </w:rPr>
  </w:style>
  <w:style w:type="paragraph" w:styleId="ListParagraph">
    <w:name w:val="List Paragraph"/>
    <w:basedOn w:val="Normal"/>
    <w:uiPriority w:val="34"/>
    <w:qFormat/>
    <w:rsid w:val="000D7B8E"/>
    <w:pPr>
      <w:ind w:left="720"/>
      <w:contextualSpacing/>
    </w:pPr>
  </w:style>
  <w:style w:type="character" w:styleId="IntenseEmphasis">
    <w:name w:val="Intense Emphasis"/>
    <w:basedOn w:val="DefaultParagraphFont"/>
    <w:uiPriority w:val="21"/>
    <w:qFormat/>
    <w:rsid w:val="000D7B8E"/>
    <w:rPr>
      <w:i/>
      <w:iCs/>
      <w:color w:val="0F4761" w:themeColor="accent1" w:themeShade="BF"/>
    </w:rPr>
  </w:style>
  <w:style w:type="paragraph" w:styleId="IntenseQuote">
    <w:name w:val="Intense Quote"/>
    <w:basedOn w:val="Normal"/>
    <w:next w:val="Normal"/>
    <w:link w:val="IntenseQuoteChar"/>
    <w:uiPriority w:val="30"/>
    <w:qFormat/>
    <w:rsid w:val="000D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B8E"/>
    <w:rPr>
      <w:i/>
      <w:iCs/>
      <w:color w:val="0F4761" w:themeColor="accent1" w:themeShade="BF"/>
    </w:rPr>
  </w:style>
  <w:style w:type="character" w:styleId="IntenseReference">
    <w:name w:val="Intense Reference"/>
    <w:basedOn w:val="DefaultParagraphFont"/>
    <w:uiPriority w:val="32"/>
    <w:qFormat/>
    <w:rsid w:val="000D7B8E"/>
    <w:rPr>
      <w:b/>
      <w:bCs/>
      <w:smallCaps/>
      <w:color w:val="0F4761" w:themeColor="accent1" w:themeShade="BF"/>
      <w:spacing w:val="5"/>
    </w:rPr>
  </w:style>
  <w:style w:type="paragraph" w:styleId="NormalWeb">
    <w:name w:val="Normal (Web)"/>
    <w:basedOn w:val="Normal"/>
    <w:uiPriority w:val="99"/>
    <w:semiHidden/>
    <w:unhideWhenUsed/>
    <w:rsid w:val="000D7B8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D7B8E"/>
    <w:rPr>
      <w:b/>
      <w:bCs/>
    </w:rPr>
  </w:style>
  <w:style w:type="character" w:styleId="Emphasis">
    <w:name w:val="Emphasis"/>
    <w:basedOn w:val="DefaultParagraphFont"/>
    <w:uiPriority w:val="20"/>
    <w:qFormat/>
    <w:rsid w:val="000D7B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1887</Words>
  <Characters>10762</Characters>
  <Application>Microsoft Office Word</Application>
  <DocSecurity>0</DocSecurity>
  <Lines>89</Lines>
  <Paragraphs>25</Paragraphs>
  <ScaleCrop>false</ScaleCrop>
  <Company/>
  <LinksUpToDate>false</LinksUpToDate>
  <CharactersWithSpaces>12624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1</cp:revision>
  <dcterms:created xsi:type="dcterms:W3CDTF">2026-09-10T22:38:00Z</dcterms:created>
  <dcterms:modified xsi:type="dcterms:W3CDTF">2026-09-10T22:46:00Z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A02CE6A6-62BF-4991-8542-1EB126C9780F</vt:lpwstr>
  </property>
</Properties>
</file>