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i w:val="false"/>
          <w:iCs w:val="false"/>
          <w:caps w:val="false"/>
          <w:sz w:val="24"/>
          <w:szCs w:val="24"/>
        </w:rPr>
        <w:t xml:space="preserve">PUBLIC-FACING</w:t>
      </w:r>
    </w:p>
    <w:p>
      <w:pPr>
        <w:spacing w:after="60"/>
      </w:pPr>
      <w:r>
        <w:rPr>
          <w:rFonts w:ascii="Times New Roman" w:cs="Times New Roman" w:eastAsia="Times New Roman" w:hAnsi="Times New Roman"/>
          <w:b/>
          <w:bCs/>
          <w:i w:val="false"/>
          <w:iCs w:val="false"/>
          <w:caps w:val="false"/>
          <w:sz w:val="32"/>
          <w:szCs w:val="32"/>
        </w:rPr>
        <w:t xml:space="preserve">QUALITY MANAGEMENT POLICY</w:t>
      </w:r>
    </w:p>
    <w:p>
      <w:pPr>
        <w:spacing w:after="60"/>
      </w:pPr>
      <w:r>
        <w:rPr>
          <w:rFonts w:ascii="Times New Roman" w:cs="Times New Roman" w:eastAsia="Times New Roman" w:hAnsi="Times New Roman"/>
          <w:b/>
          <w:bCs/>
          <w:i w:val="false"/>
          <w:iCs w:val="false"/>
          <w:caps w:val="false"/>
          <w:sz w:val="26"/>
          <w:szCs w:val="26"/>
        </w:rPr>
        <w:t xml:space="preserve">Marhana &amp; Co Consulting Ltd</w:t>
      </w:r>
    </w:p>
    <w:p>
      <w:pPr>
        <w:spacing w:after="240"/>
      </w:pPr>
      <w:r>
        <w:rPr>
          <w:rFonts w:ascii="Times New Roman" w:cs="Times New Roman" w:eastAsia="Times New Roman" w:hAnsi="Times New Roman"/>
          <w:b w:val="false"/>
          <w:bCs w:val="false"/>
          <w:i/>
          <w:iCs/>
          <w:caps w:val="false"/>
          <w:sz w:val="24"/>
          <w:szCs w:val="24"/>
        </w:rPr>
        <w:t xml:space="preserve">Aligned to the principles of ISO 9001:2015. The Company is not certified to that standard — see Section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 NAME], [DOCUMENT OWNER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 [APPROVER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Applies to</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All engagements, all personnel and all Associates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Published at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[WEBSITE ADDRESS]/policies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Certification held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None — see Section M</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Related documents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Terms of Engagement; T11, T12, T13, T15; Business Conduct Manual Part C; Information Governance Manual</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A — PURPOSE AND SCOPE</w:t>
      </w:r>
    </w:p>
    <w:p>
      <w:pPr>
        <w:spacing w:after="140"/>
      </w:pPr>
      <w:r>
        <w:rPr>
          <w:rFonts w:ascii="Times New Roman" w:cs="Times New Roman" w:eastAsia="Times New Roman" w:hAnsi="Times New Roman"/>
          <w:b w:val="false"/>
          <w:bCs w:val="false"/>
          <w:i w:val="false"/>
          <w:iCs w:val="false"/>
          <w:caps w:val="false"/>
          <w:sz w:val="24"/>
          <w:szCs w:val="24"/>
        </w:rPr>
        <w:t xml:space="preserve">A.1  This policy sets out how Marhana &amp; Co Consulting Ltd (the "Company") controls the quality of its work: how an engagement is accepted, planned, produced, checked and closed, and what happens when something goes wrong.</w:t>
      </w:r>
    </w:p>
    <w:p>
      <w:pPr>
        <w:spacing w:after="140"/>
      </w:pPr>
      <w:r>
        <w:rPr>
          <w:rFonts w:ascii="Times New Roman" w:cs="Times New Roman" w:eastAsia="Times New Roman" w:hAnsi="Times New Roman"/>
          <w:b w:val="false"/>
          <w:bCs w:val="false"/>
          <w:i w:val="false"/>
          <w:iCs w:val="false"/>
          <w:caps w:val="false"/>
          <w:sz w:val="24"/>
          <w:szCs w:val="24"/>
        </w:rPr>
        <w:t xml:space="preserve">A.2  It applies to every engagement, including work performed by Associates, and to every deliverable issued to a client or submitted to a contracting authority on a client's behalf.</w:t>
      </w:r>
    </w:p>
    <w:p>
      <w:pPr>
        <w:spacing w:after="140"/>
      </w:pPr>
      <w:r>
        <w:rPr>
          <w:rFonts w:ascii="Times New Roman" w:cs="Times New Roman" w:eastAsia="Times New Roman" w:hAnsi="Times New Roman"/>
          <w:b w:val="false"/>
          <w:bCs w:val="false"/>
          <w:i w:val="false"/>
          <w:iCs w:val="false"/>
          <w:caps w:val="false"/>
          <w:sz w:val="24"/>
          <w:szCs w:val="24"/>
        </w:rPr>
        <w:t xml:space="preserve">A.3  It is structured to follow ISO 9001:2015 so that a contracting authority evaluating the Company's quality arrangements can map it against the clauses of that standard.</w:t>
      </w:r>
    </w:p>
    <w:p>
      <w:pPr>
        <w:keepNext/>
        <w:spacing w:after="140" w:before="320"/>
      </w:pPr>
      <w:r>
        <w:rPr>
          <w:rFonts w:ascii="Times New Roman" w:cs="Times New Roman" w:eastAsia="Times New Roman" w:hAnsi="Times New Roman"/>
          <w:b/>
          <w:bCs/>
          <w:i w:val="false"/>
          <w:iCs w:val="false"/>
          <w:caps w:val="false"/>
          <w:sz w:val="24"/>
          <w:szCs w:val="24"/>
        </w:rPr>
        <w:t xml:space="preserve">SECTION B — QUALITY POLICY STATEMENT</w:t>
      </w:r>
    </w:p>
    <w:p>
      <w:pPr>
        <w:spacing w:after="140"/>
      </w:pPr>
      <w:r>
        <w:rPr>
          <w:rFonts w:ascii="Times New Roman" w:cs="Times New Roman" w:eastAsia="Times New Roman" w:hAnsi="Times New Roman"/>
          <w:b w:val="false"/>
          <w:bCs w:val="false"/>
          <w:i w:val="false"/>
          <w:iCs w:val="false"/>
          <w:caps w:val="false"/>
          <w:sz w:val="24"/>
          <w:szCs w:val="24"/>
        </w:rPr>
        <w:t xml:space="preserve">B.1  The Company's purpose is to help small and medium-sized suppliers win public sector work they are capable of delivering. Quality, in that context, means four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Principle</w:t>
            </w:r>
          </w:p>
        </w:tc>
        <w:tc>
          <w:tcPr>
            <w:tcW w:type="dxa" w:w="686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What it means in practice</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Compliant</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submission meets every mandatory requirement, in the format required, before the deadline. A brilliant response that is rejected on a compliance failure has no value</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Accurate</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factual statement in a response is true and evidenced. The Company does not write claims a client cannot substantiate, whatever the scoring benefit</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Deliverable</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 commitment drafted by the Company is one the client has confirmed it can perform. Winning on an undeliverable promise is a loss deferred</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Useful</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client is left better able to bid next time, through the Evidence Bank, the debrief analysis and the reusable response library</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B.2  The Company commits to meeting applicable statutory and regulatory requirements and to the continual improvement of its quality management arrangements.</w:t>
      </w:r>
    </w:p>
    <w:p>
      <w:pPr>
        <w:spacing w:after="140"/>
      </w:pPr>
      <w:r>
        <w:rPr>
          <w:rFonts w:ascii="Times New Roman" w:cs="Times New Roman" w:eastAsia="Times New Roman" w:hAnsi="Times New Roman"/>
          <w:b w:val="false"/>
          <w:bCs w:val="false"/>
          <w:i w:val="false"/>
          <w:iCs w:val="false"/>
          <w:caps w:val="false"/>
          <w:sz w:val="24"/>
          <w:szCs w:val="24"/>
        </w:rPr>
        <w:t xml:space="preserve">B.3  The Company gives no guarantee that any tender will be successful. Evaluation is a matter for the contracting authority. Quality is measured on what the Company controls, not on the outcome of an award decision.</w:t>
      </w:r>
    </w:p>
    <w:p>
      <w:pPr>
        <w:keepNext/>
        <w:spacing w:after="140" w:before="320"/>
      </w:pPr>
      <w:r>
        <w:rPr>
          <w:rFonts w:ascii="Times New Roman" w:cs="Times New Roman" w:eastAsia="Times New Roman" w:hAnsi="Times New Roman"/>
          <w:b/>
          <w:bCs/>
          <w:i w:val="false"/>
          <w:iCs w:val="false"/>
          <w:caps w:val="false"/>
          <w:sz w:val="24"/>
          <w:szCs w:val="24"/>
        </w:rPr>
        <w:t xml:space="preserve">SECTION C — CONTEXT AND INTERESTED PARTIES (ISO 9001 cl.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Interested party</w:t>
            </w:r>
          </w:p>
        </w:tc>
        <w:tc>
          <w:tcPr>
            <w:tcW w:type="dxa" w:w="343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Requirement</w:t>
            </w:r>
          </w:p>
        </w:tc>
        <w:tc>
          <w:tcPr>
            <w:tcW w:type="dxa" w:w="343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How it is met</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Clients</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Compliant, on-time, accurate submissions; clear scope and price</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Terms of Engagement; T14 proposal and fee quotation; the workflow at Section G</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Contracting authorities</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Responses that are truthful and that do not mislead the evaluation</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Section B.1; F.3 of the EDI Policy; D.5 of the Environmental Policy; the QA gate at Section G.7</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Associates</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Clear instructions, prompt payment, defined boundaries</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Associate Agreement; Schedule 1 engagement instruction</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Regulators (ICO)</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Lawful handling of personal data in client documentation</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Information Governance Manual; Data Processing Agreement</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Insurers</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Documented process, recorded decisions, defensible files</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This policy; the records at Section K</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D — LEADERSHIP AND RESPONSIBILITY (cl. 5)</w:t>
      </w:r>
    </w:p>
    <w:p>
      <w:pPr>
        <w:spacing w:after="140"/>
      </w:pPr>
      <w:r>
        <w:rPr>
          <w:rFonts w:ascii="Times New Roman" w:cs="Times New Roman" w:eastAsia="Times New Roman" w:hAnsi="Times New Roman"/>
          <w:b w:val="false"/>
          <w:bCs w:val="false"/>
          <w:i w:val="false"/>
          <w:iCs w:val="false"/>
          <w:caps w:val="false"/>
          <w:sz w:val="24"/>
          <w:szCs w:val="24"/>
        </w:rPr>
        <w:t xml:space="preserve">D.1  The board is accountable for the effectiveness of the quality arrangements and for this policy.</w:t>
      </w:r>
    </w:p>
    <w:p>
      <w:pPr>
        <w:spacing w:after="140"/>
      </w:pPr>
      <w:r>
        <w:rPr>
          <w:rFonts w:ascii="Times New Roman" w:cs="Times New Roman" w:eastAsia="Times New Roman" w:hAnsi="Times New Roman"/>
          <w:b w:val="false"/>
          <w:bCs w:val="false"/>
          <w:i w:val="false"/>
          <w:iCs w:val="false"/>
          <w:caps w:val="false"/>
          <w:sz w:val="24"/>
          <w:szCs w:val="24"/>
        </w:rPr>
        <w:t xml:space="preserve">D.2  [QUALITY LEAD NAME], [QUALITY LEAD ROLE] is responsible for the day-to-day operation of this policy, for the nonconformity log, and for convening the management review.</w:t>
      </w:r>
    </w:p>
    <w:p>
      <w:pPr>
        <w:spacing w:after="140"/>
      </w:pPr>
      <w:r>
        <w:rPr>
          <w:rFonts w:ascii="Times New Roman" w:cs="Times New Roman" w:eastAsia="Times New Roman" w:hAnsi="Times New Roman"/>
          <w:b w:val="false"/>
          <w:bCs w:val="false"/>
          <w:i w:val="false"/>
          <w:iCs w:val="false"/>
          <w:caps w:val="false"/>
          <w:sz w:val="24"/>
          <w:szCs w:val="24"/>
        </w:rPr>
        <w:t xml:space="preserve">D.3  Final quality assurance of a submission may not be performed by the person who drafted it, where the Company has the headcount to avoid that. Where it does not, the review is performed against the checklist at T15 and the fact that it was a self-review is recorded on the form. Self-review is disclosed, not concealed.</w:t>
      </w:r>
    </w:p>
    <w:p>
      <w:pPr>
        <w:spacing w:after="140"/>
      </w:pPr>
      <w:r>
        <w:rPr>
          <w:rFonts w:ascii="Times New Roman" w:cs="Times New Roman" w:eastAsia="Times New Roman" w:hAnsi="Times New Roman"/>
          <w:b w:val="false"/>
          <w:bCs w:val="false"/>
          <w:i w:val="false"/>
          <w:iCs w:val="false"/>
          <w:caps w:val="false"/>
          <w:sz w:val="24"/>
          <w:szCs w:val="24"/>
        </w:rPr>
        <w:t xml:space="preserve">D.4  Any person may stop a submission. Authority to say that a bid is not ready is not limited by seniority.</w:t>
      </w:r>
    </w:p>
    <w:p>
      <w:pPr>
        <w:keepNext/>
        <w:spacing w:after="140" w:before="320"/>
      </w:pPr>
      <w:r>
        <w:rPr>
          <w:rFonts w:ascii="Times New Roman" w:cs="Times New Roman" w:eastAsia="Times New Roman" w:hAnsi="Times New Roman"/>
          <w:b/>
          <w:bCs/>
          <w:i w:val="false"/>
          <w:iCs w:val="false"/>
          <w:caps w:val="false"/>
          <w:sz w:val="24"/>
          <w:szCs w:val="24"/>
        </w:rPr>
        <w:t xml:space="preserve">SECTION E — QUALITY OBJECTIVES (cl. 6)</w:t>
      </w:r>
    </w:p>
    <w:p>
      <w:pPr>
        <w:spacing w:after="140"/>
      </w:pPr>
      <w:r>
        <w:rPr>
          <w:rFonts w:ascii="Times New Roman" w:cs="Times New Roman" w:eastAsia="Times New Roman" w:hAnsi="Times New Roman"/>
          <w:b w:val="false"/>
          <w:bCs w:val="false"/>
          <w:i/>
          <w:iCs/>
          <w:caps w:val="false"/>
          <w:sz w:val="24"/>
          <w:szCs w:val="24"/>
        </w:rPr>
        <w:t xml:space="preserve">Objectives are measured per financial year and reported at the management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805"/>
        <w:gridCol w:w="1444"/>
        <w:gridCol w:w="1264"/>
        <w:gridCol w:w="1264"/>
      </w:tblGrid>
      <w:tr>
        <w:trPr>
          <w:tblHeader/>
        </w:trPr>
        <w:tc>
          <w:tcPr>
            <w:tcW w:type="dxa" w:w="324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Objective</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Measure</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Target</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Result</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 submission missed through a Company failure</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Submissions delivered to the client by the agreed internal deadline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 rejection on compliance grounds</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Submissions rejected as non-compliant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submission QA reviewed before release</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T15 completed and signed</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Compliance matrix produced before drafting begins</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T11 Section B completed at the outset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Clarification deadlines met</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Clarifications raised before the authority's deadline where a clarification was needed</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 unevidenced claim submitted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Claims traced to the Evidence Bank or to a recorded client confirmation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complaints</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Complaints received under Part C of the Business Conduct Manual</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[TARGET]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satisfaction</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Feedback requests returned rating the engagement [RATING] or better</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[TARGET]%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Debrief taken where lost</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Post-tender debriefs requested on lost bids where the authority offers one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[TARGET]%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[RESULT]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F — COMPETENCE AND RESOURCES (cl. 7)</w:t>
      </w:r>
    </w:p>
    <w:p>
      <w:pPr>
        <w:spacing w:after="140"/>
      </w:pPr>
      <w:r>
        <w:rPr>
          <w:rFonts w:ascii="Times New Roman" w:cs="Times New Roman" w:eastAsia="Times New Roman" w:hAnsi="Times New Roman"/>
          <w:b w:val="false"/>
          <w:bCs w:val="false"/>
          <w:i w:val="false"/>
          <w:iCs w:val="false"/>
          <w:caps w:val="false"/>
          <w:sz w:val="24"/>
          <w:szCs w:val="24"/>
        </w:rPr>
        <w:t xml:space="preserve">F.1  Competence requirements for each role are set out in the Training and CPD Record, which also holds the mandatory training matrix and the individual CPD logs.</w:t>
      </w:r>
    </w:p>
    <w:p>
      <w:pPr>
        <w:spacing w:after="140"/>
      </w:pPr>
      <w:r>
        <w:rPr>
          <w:rFonts w:ascii="Times New Roman" w:cs="Times New Roman" w:eastAsia="Times New Roman" w:hAnsi="Times New Roman"/>
          <w:b w:val="false"/>
          <w:bCs w:val="false"/>
          <w:i w:val="false"/>
          <w:iCs w:val="false"/>
          <w:caps w:val="false"/>
          <w:sz w:val="24"/>
          <w:szCs w:val="24"/>
        </w:rPr>
        <w:t xml:space="preserve">F.2  No person drafts a response in a regulated or safety-critical subject area without either the relevant competence or a named reviewer who holds it.</w:t>
      </w:r>
    </w:p>
    <w:p>
      <w:pPr>
        <w:spacing w:after="140"/>
      </w:pPr>
      <w:r>
        <w:rPr>
          <w:rFonts w:ascii="Times New Roman" w:cs="Times New Roman" w:eastAsia="Times New Roman" w:hAnsi="Times New Roman"/>
          <w:b w:val="false"/>
          <w:bCs w:val="false"/>
          <w:i w:val="false"/>
          <w:iCs w:val="false"/>
          <w:caps w:val="false"/>
          <w:sz w:val="24"/>
          <w:szCs w:val="24"/>
        </w:rPr>
        <w:t xml:space="preserve">F.3  Associates are competence-verified before their first engagement and their first piece of work is sampled in full.</w:t>
      </w:r>
    </w:p>
    <w:p>
      <w:pPr>
        <w:spacing w:after="140"/>
      </w:pPr>
      <w:r>
        <w:rPr>
          <w:rFonts w:ascii="Times New Roman" w:cs="Times New Roman" w:eastAsia="Times New Roman" w:hAnsi="Times New Roman"/>
          <w:b w:val="false"/>
          <w:bCs w:val="false"/>
          <w:i w:val="false"/>
          <w:iCs w:val="false"/>
          <w:caps w:val="false"/>
          <w:sz w:val="24"/>
          <w:szCs w:val="24"/>
        </w:rPr>
        <w:t xml:space="preserve">F.4  Where the Company does not hold a competence the engagement requires, it says so and either declines the scope or subcontracts it openly. It does not learn at the client's expense without telling the client.</w:t>
      </w:r>
    </w:p>
    <w:p>
      <w:pPr>
        <w:keepNext/>
        <w:spacing w:after="140" w:before="320"/>
      </w:pPr>
      <w:r>
        <w:rPr>
          <w:rFonts w:ascii="Times New Roman" w:cs="Times New Roman" w:eastAsia="Times New Roman" w:hAnsi="Times New Roman"/>
          <w:b/>
          <w:bCs/>
          <w:i w:val="false"/>
          <w:iCs w:val="false"/>
          <w:caps w:val="false"/>
          <w:sz w:val="24"/>
          <w:szCs w:val="24"/>
        </w:rPr>
        <w:t xml:space="preserve">SECTION G — OPERATIONAL CONTROL (cl. 8)</w:t>
      </w:r>
    </w:p>
    <w:p>
      <w:pPr>
        <w:spacing w:after="140"/>
      </w:pPr>
      <w:r>
        <w:rPr>
          <w:rFonts w:ascii="Times New Roman" w:cs="Times New Roman" w:eastAsia="Times New Roman" w:hAnsi="Times New Roman"/>
          <w:b w:val="false"/>
          <w:bCs w:val="false"/>
          <w:i/>
          <w:iCs/>
          <w:caps w:val="false"/>
          <w:sz w:val="24"/>
          <w:szCs w:val="24"/>
        </w:rPr>
        <w:t xml:space="preserve">The controlled workflow. Each stage has a named instrument, and the stage is not passed until that instrument is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1444"/>
        <w:gridCol w:w="4874"/>
      </w:tblGrid>
      <w:tr>
        <w:trPr>
          <w:tblHeader/>
        </w:trPr>
        <w:tc>
          <w:tcPr>
            <w:tcW w:type="dxa" w:w="54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Stage</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Instrument</w:t>
            </w:r>
          </w:p>
        </w:tc>
        <w:tc>
          <w:tcPr>
            <w:tcW w:type="dxa" w:w="487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Control</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Enquiry, onboarding and conflict check</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T13</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 work begins, and no client document is opened, until the conflict check is cleared and recorded</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Opportunity assessment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T6 / T7</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Company advises against bidding where the Bid Fit Score indicates it. A recommendation not to bid is a deliverable, not a failure</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Proposal and engagement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T14 + Terms of Engagement</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Scope, exclusions, fee and programme agreed in writing before work starts. Scope changes go through the variation route at Section B.3 of the Terms</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Compliance matrix and response plan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T11</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requirement in the tender documents is logged against a response before any drafting begins. Pass/fail gates identified separately</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5</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Clarification management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T12</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Clarifications identified early and raised before the authority's deadline. Questions considered and not raised are recorded, with the reason</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6</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Evidence and drafting</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T10, T16, T20</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factual claim traced to an Evidence Bank item or to a recorded client confirmation. Unevidenced claims are removed, not softened</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7</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Final quality assurance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T15</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Mandatory gate. No submission is released to a client or an authority without a completed and signed T15. Defects found are logged at Annex A</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8</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Submission and record</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T11 Section H</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Submission receipt, portal confirmation and final version filed</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9</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Outcome and debrief</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T8</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Win or lose, the outcome is recorded. Where lost, a debrief is requested and analysed</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Mobilisation and close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T17</w:t>
            </w:r>
          </w:p>
        </w:tc>
        <w:tc>
          <w:tcPr>
            <w:tcW w:type="dxa" w:w="487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Where won, commitments carried from the submission are handed over. Case study material captured under T20</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G.1  Work performed by an Associate passes through the same stages, and the Company remains responsible for the deliverable.</w:t>
      </w:r>
    </w:p>
    <w:p>
      <w:pPr>
        <w:keepNext/>
        <w:spacing w:after="140" w:before="320"/>
      </w:pPr>
      <w:r>
        <w:rPr>
          <w:rFonts w:ascii="Times New Roman" w:cs="Times New Roman" w:eastAsia="Times New Roman" w:hAnsi="Times New Roman"/>
          <w:b/>
          <w:bCs/>
          <w:i w:val="false"/>
          <w:iCs w:val="false"/>
          <w:caps w:val="false"/>
          <w:sz w:val="24"/>
          <w:szCs w:val="24"/>
        </w:rPr>
        <w:t xml:space="preserve">SECTION H — DOCUMENT AND VERSION CONTROL</w:t>
      </w:r>
    </w:p>
    <w:p>
      <w:pPr>
        <w:spacing w:after="140"/>
      </w:pPr>
      <w:r>
        <w:rPr>
          <w:rFonts w:ascii="Times New Roman" w:cs="Times New Roman" w:eastAsia="Times New Roman" w:hAnsi="Times New Roman"/>
          <w:b w:val="false"/>
          <w:bCs w:val="false"/>
          <w:i w:val="false"/>
          <w:iCs w:val="false"/>
          <w:caps w:val="false"/>
          <w:sz w:val="24"/>
          <w:szCs w:val="24"/>
        </w:rPr>
        <w:t xml:space="preserve">H.1  Every controlled document carries a document control block showing owner, version, approval, last review and next review. A document without one is not a controlled document and must not be issued.</w:t>
      </w:r>
    </w:p>
    <w:p>
      <w:pPr>
        <w:spacing w:after="140"/>
      </w:pPr>
      <w:r>
        <w:rPr>
          <w:rFonts w:ascii="Times New Roman" w:cs="Times New Roman" w:eastAsia="Times New Roman" w:hAnsi="Times New Roman"/>
          <w:b w:val="false"/>
          <w:bCs w:val="false"/>
          <w:i w:val="false"/>
          <w:iCs w:val="false"/>
          <w:caps w:val="false"/>
          <w:sz w:val="24"/>
          <w:szCs w:val="24"/>
        </w:rPr>
        <w:t xml:space="preserve">H.2  There is one master of each controlled document. Where an earlier draft, a variant or a working copy exists, it is moved to an archive location and renamed with the suffix "SUPERSEDED", or deleted. Two live files with the same content and different names is a defect, not a backup.</w:t>
      </w:r>
    </w:p>
    <w:p>
      <w:pPr>
        <w:spacing w:after="140"/>
      </w:pPr>
      <w:r>
        <w:rPr>
          <w:rFonts w:ascii="Times New Roman" w:cs="Times New Roman" w:eastAsia="Times New Roman" w:hAnsi="Times New Roman"/>
          <w:b w:val="false"/>
          <w:bCs w:val="false"/>
          <w:i w:val="false"/>
          <w:iCs w:val="false"/>
          <w:caps w:val="false"/>
          <w:sz w:val="24"/>
          <w:szCs w:val="24"/>
        </w:rPr>
        <w:t xml:space="preserve">H.3  Version numbering. Draft versions are 0.1, 0.2 and so on. The first approved issue is 1.0. A change of substance increments the whole number; a correction that does not change meaning increments the decimal.</w:t>
      </w:r>
    </w:p>
    <w:p>
      <w:pPr>
        <w:spacing w:after="140"/>
      </w:pPr>
      <w:r>
        <w:rPr>
          <w:rFonts w:ascii="Times New Roman" w:cs="Times New Roman" w:eastAsia="Times New Roman" w:hAnsi="Times New Roman"/>
          <w:b w:val="false"/>
          <w:bCs w:val="false"/>
          <w:i w:val="false"/>
          <w:iCs w:val="false"/>
          <w:caps w:val="false"/>
          <w:sz w:val="24"/>
          <w:szCs w:val="24"/>
        </w:rPr>
        <w:t xml:space="preserve">H.4  Documents issued externally are issued as PDF. The editable source is not issued unless the client needs to work in it, in which case the version issued is recorded.</w:t>
      </w:r>
    </w:p>
    <w:p>
      <w:pPr>
        <w:spacing w:after="140"/>
      </w:pPr>
      <w:r>
        <w:rPr>
          <w:rFonts w:ascii="Times New Roman" w:cs="Times New Roman" w:eastAsia="Times New Roman" w:hAnsi="Times New Roman"/>
          <w:b w:val="false"/>
          <w:bCs w:val="false"/>
          <w:i w:val="false"/>
          <w:iCs w:val="false"/>
          <w:caps w:val="false"/>
          <w:sz w:val="24"/>
          <w:szCs w:val="24"/>
        </w:rPr>
        <w:t xml:space="preserve">H.5  Where one document incorporates another by reference — as the Retainer Schedule, the Data Processing Agreement, the Intellectual Property Schedule and the AI and Technology Use Addendum each incorporate the Terms of Engagement — the reference must resolve to exactly one document. The master issue register at Annex C records which that is.</w:t>
      </w:r>
    </w:p>
    <w:p>
      <w:pPr>
        <w:spacing w:after="140"/>
      </w:pPr>
      <w:r>
        <w:rPr>
          <w:rFonts w:ascii="Times New Roman" w:cs="Times New Roman" w:eastAsia="Times New Roman" w:hAnsi="Times New Roman"/>
          <w:b w:val="false"/>
          <w:bCs w:val="false"/>
          <w:i w:val="false"/>
          <w:iCs w:val="false"/>
          <w:caps w:val="false"/>
          <w:sz w:val="24"/>
          <w:szCs w:val="24"/>
        </w:rPr>
        <w:t xml:space="preserve">H.6  A document issued to a client is not amended after issue. A correction is issued as a new version with the change identified.</w:t>
      </w:r>
    </w:p>
    <w:p>
      <w:pPr>
        <w:keepNext/>
        <w:spacing w:after="140" w:before="320"/>
      </w:pPr>
      <w:r>
        <w:rPr>
          <w:rFonts w:ascii="Times New Roman" w:cs="Times New Roman" w:eastAsia="Times New Roman" w:hAnsi="Times New Roman"/>
          <w:b/>
          <w:bCs/>
          <w:i w:val="false"/>
          <w:iCs w:val="false"/>
          <w:caps w:val="false"/>
          <w:sz w:val="24"/>
          <w:szCs w:val="24"/>
        </w:rPr>
        <w:t xml:space="preserve">SECTION I — NONCONFORMITY AND CORRECTIVE ACTION (cl. 10)</w:t>
      </w:r>
    </w:p>
    <w:p>
      <w:pPr>
        <w:spacing w:after="140"/>
      </w:pPr>
      <w:r>
        <w:rPr>
          <w:rFonts w:ascii="Times New Roman" w:cs="Times New Roman" w:eastAsia="Times New Roman" w:hAnsi="Times New Roman"/>
          <w:b w:val="false"/>
          <w:bCs w:val="false"/>
          <w:i w:val="false"/>
          <w:iCs w:val="false"/>
          <w:caps w:val="false"/>
          <w:sz w:val="24"/>
          <w:szCs w:val="24"/>
        </w:rPr>
        <w:t xml:space="preserve">I.1  A nonconformity is any of the following:</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submission delivered late, or delivered in a form that could not be submitted.</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response rejected by an authority on compliance grounds.</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factual error in a deliverable issued to a client or an authority.</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claim submitted that could not be evidenced.</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clarification deadline missed.</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breach of confidentiality, or a personal data breach.</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conflict of interest identified after work had begun.</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deliverable materially outside the agreed scope, in either direction.</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complaint received under Part C of the Business Conduct Manual.</w:t>
      </w:r>
    </w:p>
    <w:p>
      <w:pPr>
        <w:spacing w:after="140"/>
      </w:pPr>
      <w:r>
        <w:rPr>
          <w:rFonts w:ascii="Times New Roman" w:cs="Times New Roman" w:eastAsia="Times New Roman" w:hAnsi="Times New Roman"/>
          <w:b w:val="false"/>
          <w:bCs w:val="false"/>
          <w:i w:val="false"/>
          <w:iCs w:val="false"/>
          <w:caps w:val="false"/>
          <w:sz w:val="24"/>
          <w:szCs w:val="24"/>
        </w:rPr>
        <w:t xml:space="preserve">I.2  Every nonconformity is recorded at Annex A on the day it is identified, whether or not it caused loss and whether or not the client noticed.</w:t>
      </w:r>
    </w:p>
    <w:p>
      <w:pPr>
        <w:spacing w:after="140"/>
      </w:pPr>
      <w:r>
        <w:rPr>
          <w:rFonts w:ascii="Times New Roman" w:cs="Times New Roman" w:eastAsia="Times New Roman" w:hAnsi="Times New Roman"/>
          <w:b w:val="false"/>
          <w:bCs w:val="false"/>
          <w:i w:val="false"/>
          <w:iCs w:val="false"/>
          <w:caps w:val="false"/>
          <w:sz w:val="24"/>
          <w:szCs w:val="24"/>
        </w:rPr>
        <w:t xml:space="preserve">I.3  The record must state the immediate correction, the root cause, and the corrective action taken to prevent recurrence. "Human error" is not a root cause; the absence of the control that would have caught the error is.</w:t>
      </w:r>
    </w:p>
    <w:p>
      <w:pPr>
        <w:spacing w:after="140"/>
      </w:pPr>
      <w:r>
        <w:rPr>
          <w:rFonts w:ascii="Times New Roman" w:cs="Times New Roman" w:eastAsia="Times New Roman" w:hAnsi="Times New Roman"/>
          <w:b w:val="false"/>
          <w:bCs w:val="false"/>
          <w:i w:val="false"/>
          <w:iCs w:val="false"/>
          <w:caps w:val="false"/>
          <w:sz w:val="24"/>
          <w:szCs w:val="24"/>
        </w:rPr>
        <w:t xml:space="preserve">I.4  Corrective actions are reviewed for effectiveness at the following management review and closed only when the reviewer is satisfied they have worked.</w:t>
      </w:r>
    </w:p>
    <w:p>
      <w:pPr>
        <w:spacing w:after="140"/>
      </w:pPr>
      <w:r>
        <w:rPr>
          <w:rFonts w:ascii="Times New Roman" w:cs="Times New Roman" w:eastAsia="Times New Roman" w:hAnsi="Times New Roman"/>
          <w:b w:val="false"/>
          <w:bCs w:val="false"/>
          <w:i w:val="false"/>
          <w:iCs w:val="false"/>
          <w:caps w:val="false"/>
          <w:sz w:val="24"/>
          <w:szCs w:val="24"/>
        </w:rPr>
        <w:t xml:space="preserve">I.5  A nonconformity that engages the professional indemnity policy is notified to insurers in accordance with the policy conditions without delay, and before any admission is made to the client.</w:t>
      </w:r>
    </w:p>
    <w:p>
      <w:pPr>
        <w:keepNext/>
        <w:spacing w:after="140" w:before="320"/>
      </w:pPr>
      <w:r>
        <w:rPr>
          <w:rFonts w:ascii="Times New Roman" w:cs="Times New Roman" w:eastAsia="Times New Roman" w:hAnsi="Times New Roman"/>
          <w:b/>
          <w:bCs/>
          <w:i w:val="false"/>
          <w:iCs w:val="false"/>
          <w:caps w:val="false"/>
          <w:sz w:val="24"/>
          <w:szCs w:val="24"/>
        </w:rPr>
        <w:t xml:space="preserve">SECTION J — CLIENT SATISFACTION AND COMPLAINTS</w:t>
      </w:r>
    </w:p>
    <w:p>
      <w:pPr>
        <w:spacing w:after="140"/>
      </w:pPr>
      <w:r>
        <w:rPr>
          <w:rFonts w:ascii="Times New Roman" w:cs="Times New Roman" w:eastAsia="Times New Roman" w:hAnsi="Times New Roman"/>
          <w:b w:val="false"/>
          <w:bCs w:val="false"/>
          <w:i w:val="false"/>
          <w:iCs w:val="false"/>
          <w:caps w:val="false"/>
          <w:sz w:val="24"/>
          <w:szCs w:val="24"/>
        </w:rPr>
        <w:t xml:space="preserve">J.1  A feedback request is sent at the close of every engagement. Responses, including negative ones, are recorded and reported at the management review.</w:t>
      </w:r>
    </w:p>
    <w:p>
      <w:pPr>
        <w:spacing w:after="140"/>
      </w:pPr>
      <w:r>
        <w:rPr>
          <w:rFonts w:ascii="Times New Roman" w:cs="Times New Roman" w:eastAsia="Times New Roman" w:hAnsi="Times New Roman"/>
          <w:b w:val="false"/>
          <w:bCs w:val="false"/>
          <w:i w:val="false"/>
          <w:iCs w:val="false"/>
          <w:caps w:val="false"/>
          <w:sz w:val="24"/>
          <w:szCs w:val="24"/>
        </w:rPr>
        <w:t xml:space="preserve">J.2  Complaints are handled under Part C of the Business Conduct Manual and are also logged as nonconformities under Section I.</w:t>
      </w:r>
    </w:p>
    <w:p>
      <w:pPr>
        <w:spacing w:after="140"/>
      </w:pPr>
      <w:r>
        <w:rPr>
          <w:rFonts w:ascii="Times New Roman" w:cs="Times New Roman" w:eastAsia="Times New Roman" w:hAnsi="Times New Roman"/>
          <w:b w:val="false"/>
          <w:bCs w:val="false"/>
          <w:i w:val="false"/>
          <w:iCs w:val="false"/>
          <w:caps w:val="false"/>
          <w:sz w:val="24"/>
          <w:szCs w:val="24"/>
        </w:rPr>
        <w:t xml:space="preserve">J.3  Where a client raises a genuine quality complaint about work for which a fee is outstanding, the complaint is resolved before any credit control escalation continues. That rule is repeated in the Credit Control Procedure.</w:t>
      </w:r>
    </w:p>
    <w:p>
      <w:pPr>
        <w:keepNext/>
        <w:spacing w:after="140" w:before="320"/>
      </w:pPr>
      <w:r>
        <w:rPr>
          <w:rFonts w:ascii="Times New Roman" w:cs="Times New Roman" w:eastAsia="Times New Roman" w:hAnsi="Times New Roman"/>
          <w:b/>
          <w:bCs/>
          <w:i w:val="false"/>
          <w:iCs w:val="false"/>
          <w:caps w:val="false"/>
          <w:sz w:val="24"/>
          <w:szCs w:val="24"/>
        </w:rPr>
        <w:t xml:space="preserve">SECTION K —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rPr>
          <w:tblHeader/>
        </w:trPr>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Record</w:t>
            </w:r>
          </w:p>
        </w:tc>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Held at</w:t>
            </w:r>
          </w:p>
        </w:tc>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Retention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Conflict check (T13)</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file</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 the Retention and Disposal Schedule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Compliance matrix (T11)</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Engagement file</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 the Retention and Disposal Schedule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Clarification log (T12)</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Engagement file</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 the Retention and Disposal Schedule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QA review (T15)</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Engagement file</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 the Retention and Disposal Schedule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Submitted version and receipt</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Engagement file</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 the Retention and Disposal Schedule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Nonconformity log</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Annex A</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Management review record</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Annex B</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Master issue register</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Annex C</w:t>
            </w:r>
          </w:p>
        </w:tc>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Current version plus superseded history</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L — MANAGEMENT REVIEW</w:t>
      </w:r>
    </w:p>
    <w:p>
      <w:pPr>
        <w:spacing w:after="140"/>
      </w:pPr>
      <w:r>
        <w:rPr>
          <w:rFonts w:ascii="Times New Roman" w:cs="Times New Roman" w:eastAsia="Times New Roman" w:hAnsi="Times New Roman"/>
          <w:b w:val="false"/>
          <w:bCs w:val="false"/>
          <w:i w:val="false"/>
          <w:iCs w:val="false"/>
          <w:caps w:val="false"/>
          <w:sz w:val="24"/>
          <w:szCs w:val="24"/>
        </w:rPr>
        <w:t xml:space="preserve">L.1  The board reviews the quality arrangements at least [quarterly] and in any event at least annually.</w:t>
      </w:r>
    </w:p>
    <w:p>
      <w:pPr>
        <w:spacing w:after="140"/>
      </w:pPr>
      <w:r>
        <w:rPr>
          <w:rFonts w:ascii="Times New Roman" w:cs="Times New Roman" w:eastAsia="Times New Roman" w:hAnsi="Times New Roman"/>
          <w:b w:val="false"/>
          <w:bCs w:val="false"/>
          <w:i w:val="false"/>
          <w:iCs w:val="false"/>
          <w:caps w:val="false"/>
          <w:sz w:val="24"/>
          <w:szCs w:val="24"/>
        </w:rPr>
        <w:t xml:space="preserve">L.2  The standing agenda is: actions from the last review; performance against the objectives at Section E; nonconformities and corrective actions; complaints and client feedback; win and loss outcomes and debrief findings; Associate and supplier performance; competence and training; changes in law, procurement policy or the Company's context; resource adequacy; opportunities for improvement; and the review dates of every controlled document.</w:t>
      </w:r>
    </w:p>
    <w:p>
      <w:pPr>
        <w:spacing w:after="140"/>
      </w:pPr>
      <w:r>
        <w:rPr>
          <w:rFonts w:ascii="Times New Roman" w:cs="Times New Roman" w:eastAsia="Times New Roman" w:hAnsi="Times New Roman"/>
          <w:b w:val="false"/>
          <w:bCs w:val="false"/>
          <w:i w:val="false"/>
          <w:iCs w:val="false"/>
          <w:caps w:val="false"/>
          <w:sz w:val="24"/>
          <w:szCs w:val="24"/>
        </w:rPr>
        <w:t xml:space="preserve">L.3  The record at Annex B is the evidence a contracting authority is entitled to ask for. It is completed at the meeting, not reconstructed afterwards.</w:t>
      </w:r>
    </w:p>
    <w:p>
      <w:pPr>
        <w:keepNext/>
        <w:spacing w:after="140" w:before="320"/>
      </w:pPr>
      <w:r>
        <w:rPr>
          <w:rFonts w:ascii="Times New Roman" w:cs="Times New Roman" w:eastAsia="Times New Roman" w:hAnsi="Times New Roman"/>
          <w:b/>
          <w:bCs/>
          <w:i w:val="false"/>
          <w:iCs w:val="false"/>
          <w:caps w:val="false"/>
          <w:sz w:val="24"/>
          <w:szCs w:val="24"/>
        </w:rPr>
        <w:t xml:space="preserve">SECTION M — WHAT THE COMPANY DOES NOT CLAIM</w:t>
      </w:r>
    </w:p>
    <w:p>
      <w:pPr>
        <w:spacing w:after="140"/>
      </w:pPr>
      <w:r>
        <w:rPr>
          <w:rFonts w:ascii="Times New Roman" w:cs="Times New Roman" w:eastAsia="Times New Roman" w:hAnsi="Times New Roman"/>
          <w:b w:val="false"/>
          <w:bCs w:val="false"/>
          <w:i w:val="false"/>
          <w:iCs w:val="false"/>
          <w:caps w:val="false"/>
          <w:sz w:val="24"/>
          <w:szCs w:val="24"/>
        </w:rPr>
        <w:t xml:space="preserve">M.1  The Company is not certified to ISO 9001 or to any other quality management standard, and does not hold accreditation from a UKAS-accredited certification body.</w:t>
      </w:r>
    </w:p>
    <w:p>
      <w:pPr>
        <w:spacing w:after="140"/>
      </w:pPr>
      <w:r>
        <w:rPr>
          <w:rFonts w:ascii="Times New Roman" w:cs="Times New Roman" w:eastAsia="Times New Roman" w:hAnsi="Times New Roman"/>
          <w:b w:val="false"/>
          <w:bCs w:val="false"/>
          <w:i w:val="false"/>
          <w:iCs w:val="false"/>
          <w:caps w:val="false"/>
          <w:sz w:val="24"/>
          <w:szCs w:val="24"/>
        </w:rPr>
        <w:t xml:space="preserve">M.2  Where a tender question asks whether the Company holds ISO 9001, the answer is no, followed by this policy and the records at Annexes A to C. An aligned but uncertified system, evidenced, scores better than a claim that cannot be substantiated.</w:t>
      </w:r>
    </w:p>
    <w:p>
      <w:pPr>
        <w:spacing w:after="140"/>
      </w:pPr>
      <w:r>
        <w:rPr>
          <w:rFonts w:ascii="Times New Roman" w:cs="Times New Roman" w:eastAsia="Times New Roman" w:hAnsi="Times New Roman"/>
          <w:b w:val="false"/>
          <w:bCs w:val="false"/>
          <w:i w:val="false"/>
          <w:iCs w:val="false"/>
          <w:caps w:val="false"/>
          <w:sz w:val="24"/>
          <w:szCs w:val="24"/>
        </w:rPr>
        <w:t xml:space="preserve">M.3  Certification will be considered when the value of contracts requiring it exceeds the cost of obtaining and maintaining it. That assessment is recorded at the annual management review.</w:t>
      </w:r>
    </w:p>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Approved on behalf of the board</w:t>
            </w:r>
          </w:p>
        </w:tc>
        <w:tc>
          <w:tcPr>
            <w:tcW w:type="dxa" w:w="541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Role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ROLE]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bl>
    <w:p>
      <w:r>
        <w:br w:type="page"/>
      </w:r>
    </w:p>
    <w:p>
      <w:pPr>
        <w:keepNext/>
        <w:spacing w:after="100" w:before="200"/>
      </w:pPr>
      <w:r>
        <w:rPr>
          <w:rFonts w:ascii="Times New Roman" w:cs="Times New Roman" w:eastAsia="Times New Roman" w:hAnsi="Times New Roman"/>
          <w:b/>
          <w:bCs/>
          <w:i w:val="false"/>
          <w:iCs w:val="false"/>
          <w:caps w:val="false"/>
          <w:sz w:val="24"/>
          <w:szCs w:val="24"/>
        </w:rPr>
        <w:t xml:space="preserve">ANNEX A — NONCONFORMITY AND CORRECTIVE ACTION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903"/>
        <w:gridCol w:w="1805"/>
        <w:gridCol w:w="1444"/>
        <w:gridCol w:w="1805"/>
        <w:gridCol w:w="1264"/>
        <w:gridCol w:w="1083"/>
      </w:tblGrid>
      <w:tr>
        <w:trPr>
          <w:tblHeader/>
        </w:trPr>
        <w:tc>
          <w:tcPr>
            <w:tcW w:type="dxa" w:w="72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Ref</w:t>
            </w:r>
          </w:p>
        </w:tc>
        <w:tc>
          <w:tcPr>
            <w:tcW w:type="dxa" w:w="90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What happened</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Immediate correction</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Root cause — which control was missing</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Corrective action</w:t>
            </w:r>
          </w:p>
        </w:tc>
        <w:tc>
          <w:tcPr>
            <w:tcW w:type="dxa" w:w="108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Closed (date, by whom)</w:t>
            </w:r>
          </w:p>
        </w:tc>
      </w:tr>
      <w:tr>
        <w:trPr>
          <w:tblHeader w:val="false"/>
        </w:trPr>
        <w:tc>
          <w:tcPr>
            <w:tcW w:type="dxa" w:w="72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NC-001</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[DESCRIPTION]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[CORRECTION]</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[ROOT CAUSE]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 NAME]</w:t>
            </w:r>
          </w:p>
        </w:tc>
      </w:tr>
      <w:tr>
        <w:trPr>
          <w:tblHeader w:val="false"/>
        </w:trPr>
        <w:tc>
          <w:tcPr>
            <w:tcW w:type="dxa" w:w="72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72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B — MANAGEMENT REVIEW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Item</w:t>
            </w:r>
          </w:p>
        </w:tc>
        <w:tc>
          <w:tcPr>
            <w:tcW w:type="dxa" w:w="613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Record</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and attendees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 [NAMES]</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Actions from last review</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[STATUS]</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Performance against objectives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Nonconformities this period</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 [SUMMARY]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Corrective actions closed / open</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 [NUMBER]</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Complaints and client feedback</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Bid outcomes and debrief findings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Associate and supplier performance</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Competence and training status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Changes in law, procurement policy or context</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Resource adequacy</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[SUMMARY]</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Controlled documents due for review</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Improvement opportunities agreed</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Actions, owners and dates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88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next review</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C — MASTER ISSUE REGISTER</w:t>
      </w:r>
    </w:p>
    <w:p>
      <w:pPr>
        <w:spacing w:after="140"/>
      </w:pPr>
      <w:r>
        <w:rPr>
          <w:rFonts w:ascii="Times New Roman" w:cs="Times New Roman" w:eastAsia="Times New Roman" w:hAnsi="Times New Roman"/>
          <w:b w:val="false"/>
          <w:bCs w:val="false"/>
          <w:i/>
          <w:iCs/>
          <w:caps w:val="false"/>
          <w:sz w:val="24"/>
          <w:szCs w:val="24"/>
        </w:rPr>
        <w:t xml:space="preserve">The single record of which file is the live master of each controlled document, and which files have been superseded. Completed once and then maintained on every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264"/>
        <w:gridCol w:w="1083"/>
        <w:gridCol w:w="1264"/>
        <w:gridCol w:w="2707"/>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Controlled document</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Master file name</w:t>
            </w:r>
          </w:p>
        </w:tc>
        <w:tc>
          <w:tcPr>
            <w:tcW w:type="dxa" w:w="108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Version</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Approved</w:t>
            </w:r>
          </w:p>
        </w:tc>
        <w:tc>
          <w:tcPr>
            <w:tcW w:type="dxa" w:w="270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Superseded files retired to archive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Terms of Engagement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Retainer Schedule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Scope Schedules Library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Governance Forms and Notices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Founder Remuneration and Vesting Pack</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Information Governance Manual</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Forms and Records Register</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Operational and Employment Pack</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[OTHER]</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[FILE NAME]</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[LIST]</w:t>
            </w:r>
          </w:p>
        </w:tc>
      </w:tr>
    </w:tbl>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60"/>
      </w:pPr>
      <w:r>
        <w:rPr>
          <w:rFonts w:ascii="Times New Roman" w:cs="Times New Roman" w:eastAsia="Times New Roman" w:hAnsi="Times New Roman"/>
          <w:b/>
          <w:bCs/>
          <w:i w:val="false"/>
          <w:iCs w:val="false"/>
          <w:caps w:val="false"/>
          <w:sz w:val="24"/>
          <w:szCs w:val="24"/>
        </w:rPr>
        <w:t xml:space="preserve">Document Owner: </w:t>
      </w:r>
      <w:r>
        <w:rPr>
          <w:rFonts w:ascii="Times New Roman" w:cs="Times New Roman" w:eastAsia="Times New Roman" w:hAnsi="Times New Roman"/>
          <w:b w:val="false"/>
          <w:bCs w:val="false"/>
          <w:i w:val="false"/>
          <w:iCs w:val="false"/>
          <w:caps w:val="false"/>
          <w:sz w:val="24"/>
          <w:szCs w:val="24"/>
        </w:rPr>
        <w:t xml:space="preserve">[DOCUMENT OWNER NAME], [DOCUMENT OWNER ROLE] | </w:t>
      </w:r>
      <w:r>
        <w:rPr>
          <w:rFonts w:ascii="Times New Roman" w:cs="Times New Roman" w:eastAsia="Times New Roman" w:hAnsi="Times New Roman"/>
          <w:b/>
          <w:bCs/>
          <w:i w:val="false"/>
          <w:iCs w:val="false"/>
          <w:caps w:val="false"/>
          <w:sz w:val="24"/>
          <w:szCs w:val="24"/>
        </w:rPr>
        <w:t xml:space="preserve">Version: </w:t>
      </w:r>
      <w:r>
        <w:rPr>
          <w:rFonts w:ascii="Times New Roman" w:cs="Times New Roman" w:eastAsia="Times New Roman" w:hAnsi="Times New Roman"/>
          <w:b w:val="false"/>
          <w:bCs w:val="false"/>
          <w:i w:val="false"/>
          <w:iCs w:val="false"/>
          <w:caps w:val="false"/>
          <w:sz w:val="24"/>
          <w:szCs w:val="24"/>
        </w:rPr>
        <w:t xml:space="preserve">[VERSION NUMBER] | </w:t>
      </w:r>
      <w:r>
        <w:rPr>
          <w:rFonts w:ascii="Times New Roman" w:cs="Times New Roman" w:eastAsia="Times New Roman" w:hAnsi="Times New Roman"/>
          <w:b/>
          <w:bCs/>
          <w:i w:val="false"/>
          <w:iCs w:val="false"/>
          <w:caps w:val="false"/>
          <w:sz w:val="24"/>
          <w:szCs w:val="24"/>
        </w:rPr>
        <w:t xml:space="preserve">Last Reviewed: </w:t>
      </w:r>
      <w:r>
        <w:rPr>
          <w:rFonts w:ascii="Times New Roman" w:cs="Times New Roman" w:eastAsia="Times New Roman" w:hAnsi="Times New Roman"/>
          <w:b w:val="false"/>
          <w:bCs w:val="false"/>
          <w:i w:val="false"/>
          <w:iCs w:val="false"/>
          <w:caps w:val="false"/>
          <w:sz w:val="24"/>
          <w:szCs w:val="24"/>
        </w:rPr>
        <w:t xml:space="preserve">[LAST REVIEWED DATE] | </w:t>
      </w:r>
      <w:r>
        <w:rPr>
          <w:rFonts w:ascii="Times New Roman" w:cs="Times New Roman" w:eastAsia="Times New Roman" w:hAnsi="Times New Roman"/>
          <w:b/>
          <w:bCs/>
          <w:i w:val="false"/>
          <w:iCs w:val="false"/>
          <w:caps w:val="false"/>
          <w:sz w:val="24"/>
          <w:szCs w:val="24"/>
        </w:rPr>
        <w:t xml:space="preserve">Next Review Date: </w:t>
      </w:r>
      <w:r>
        <w:rPr>
          <w:rFonts w:ascii="Times New Roman" w:cs="Times New Roman" w:eastAsia="Times New Roman" w:hAnsi="Times New Roman"/>
          <w:b w:val="false"/>
          <w:bCs w:val="false"/>
          <w:i w:val="false"/>
          <w:iCs w:val="false"/>
          <w:caps w:val="false"/>
          <w:sz w:val="24"/>
          <w:szCs w:val="24"/>
        </w:rPr>
        <w:t xml:space="preserve">[NEXT REVIEW DATE]</w:t>
      </w:r>
    </w:p>
    <w:p>
      <w:r>
        <w:rPr>
          <w:rFonts w:ascii="Times New Roman" w:cs="Times New Roman" w:eastAsia="Times New Roman" w:hAnsi="Times New Roman"/>
          <w:b/>
          <w:bCs/>
          <w:i w:val="false"/>
          <w:iCs w:val="false"/>
          <w:caps w:val="false"/>
          <w:sz w:val="24"/>
          <w:szCs w:val="24"/>
        </w:rPr>
        <w:t xml:space="preserve">Marhana &amp; Co Consulting Ltd </w:t>
      </w:r>
      <w:r>
        <w:rPr>
          <w:rFonts w:ascii="Times New Roman" w:cs="Times New Roman" w:eastAsia="Times New Roman" w:hAnsi="Times New Roman"/>
          <w:b w:val="false"/>
          <w:bCs w:val="false"/>
          <w:i w:val="false"/>
          <w:iCs w:val="false"/>
          <w:caps w:val="false"/>
          <w:sz w:val="24"/>
          <w:szCs w:val="24"/>
        </w:rPr>
        <w:t xml:space="preserve">| Company number [COMPANY REGISTRATION NUMBER] | Registered office [REGISTERED OFFICE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2026-09-11T10:48:42.862Z</dcterms:created>
  <dcterms:modified xsi:type="dcterms:W3CDTF">2026-09-11T10:48:42.862Z</dcterms:modified>
</cp:coreProperties>
</file>

<file path=docProps/custom.xml><?xml version="1.0" encoding="utf-8"?>
<Properties xmlns="http://schemas.openxmlformats.org/officeDocument/2006/custom-properties" xmlns:vt="http://schemas.openxmlformats.org/officeDocument/2006/docPropsVTypes"/>
</file>