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b/>
          <w:bCs/>
          <w:i w:val="false"/>
          <w:iCs w:val="false"/>
          <w:caps w:val="false"/>
          <w:sz w:val="30"/>
          <w:szCs w:val="30"/>
        </w:rPr>
        <w:t xml:space="preserve">MARHANA &amp; CO CONSULTING LTD</w:t>
      </w:r>
    </w:p>
    <w:p>
      <w:pPr>
        <w:spacing w:after="20"/>
      </w:pPr>
      <w:r>
        <w:rPr>
          <w:rFonts w:ascii="Times New Roman" w:cs="Times New Roman" w:eastAsia="Times New Roman" w:hAnsi="Times New Roman"/>
          <w:b/>
          <w:bCs/>
          <w:i w:val="false"/>
          <w:iCs w:val="false"/>
          <w:caps w:val="false"/>
          <w:sz w:val="23"/>
          <w:szCs w:val="23"/>
        </w:rPr>
        <w:t xml:space="preserve">Public sector bid and tender consultancy</w:t>
      </w:r>
    </w:p>
    <w:p>
      <w:pPr>
        <w:spacing w:after="140"/>
      </w:pPr>
      <w:r>
        <w:rPr>
          <w:rFonts w:ascii="Times New Roman" w:cs="Times New Roman" w:eastAsia="Times New Roman" w:hAnsi="Times New Roman"/>
          <w:b w:val="false"/>
          <w:bCs w:val="false"/>
          <w:i/>
          <w:iCs/>
          <w:caps w:val="false"/>
          <w:sz w:val="24"/>
          <w:szCs w:val="24"/>
        </w:rPr>
        <w:t xml:space="preserve">We help small and medium-sized suppliers win public contracts they are capable of delivering.</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100"/>
      </w:pPr>
      <w:r>
        <w:rPr>
          <w:rFonts w:ascii="Times New Roman" w:cs="Times New Roman" w:eastAsia="Times New Roman" w:hAnsi="Times New Roman"/>
          <w:b w:val="false"/>
          <w:bCs w:val="false"/>
          <w:i w:val="false"/>
          <w:iCs w:val="false"/>
          <w:caps w:val="false"/>
          <w:sz w:val="24"/>
          <w:szCs w:val="24"/>
        </w:rPr>
        <w:t xml:space="preserve">Public procurement rewards suppliers who can evidence what they do, in the format the authority asked for, before the deadline. Most capable SMEs lose on those three counts rather than on capability. We close that gap: we tell you which opportunities are worth your time, build the evidence base you will reuse for years, and write responses that score against the published criteria.</w:t>
      </w:r>
    </w:p>
    <w:p>
      <w:pPr>
        <w:keepNext/>
        <w:spacing w:after="100" w:before="200"/>
      </w:pPr>
      <w:r>
        <w:rPr>
          <w:rFonts w:ascii="Times New Roman" w:cs="Times New Roman" w:eastAsia="Times New Roman" w:hAnsi="Times New Roman"/>
          <w:b/>
          <w:bCs/>
          <w:i w:val="false"/>
          <w:iCs w:val="false"/>
          <w:caps w:val="false"/>
          <w:sz w:val="24"/>
          <w:szCs w:val="24"/>
        </w:rPr>
        <w:t xml:space="preserve">WHAT WE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Decide whether to bid</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Bid Fit Score — a scored assessment of a specific opportunity with disqualifying checks, the cost of bidding and a clear recommendation. Bid Readiness Assessment — a rated review of your corporate, financial, insurance, accreditation, policy and evidence position, with a prioritised action list and a statement of what you can credibly bid for now.</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Win the work</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Tender and PQQ writing · Bid review and rewrite · Social value statements · Financial and costed business case · Framework applications · Consortium bid coordination. Each delivered with a compliance matrix and an evidence gap register.</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Build the asset</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Evidence Bank development — a structured, indexed evidence library, criteria mapping index, reusable response set and a maintenance protocol you can run without us. Accreditation support for CHAS, SSIP, the Common Assessment Standard and similar.</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After the decision</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Post-tender debrief analysis — where the marks went, separating drafting failure from capability gap. Contract mobilisation — obligations register and reporting framework. Social value delivery reporting against your contractual commitments.</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Ongoing</w:t>
            </w:r>
          </w:p>
        </w:tc>
        <w:tc>
          <w:tcPr>
            <w:tcW w:type="dxa" w:w="686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Retainer — continuous opportunity monitoring, monthly pipeline report, evidence and accreditation expiry watch, and priority access.</w:t>
            </w:r>
          </w:p>
        </w:tc>
      </w:tr>
    </w:tbl>
    <w:p>
      <w:pPr>
        <w:keepNext/>
        <w:spacing w:after="100" w:before="200"/>
      </w:pPr>
      <w:r>
        <w:rPr>
          <w:rFonts w:ascii="Times New Roman" w:cs="Times New Roman" w:eastAsia="Times New Roman" w:hAnsi="Times New Roman"/>
          <w:b/>
          <w:bCs/>
          <w:i w:val="false"/>
          <w:iCs w:val="false"/>
          <w:caps w:val="false"/>
          <w:sz w:val="24"/>
          <w:szCs w:val="24"/>
        </w:rPr>
        <w:t xml:space="preserve">WHAT MAKES US DIFFERENT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We tell you when not to bid. Our cheapest service is a scored recommendation, and it is frequently a recommendation to walk away. A consultancy paid per bid has no incentive to say that.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We write only what you can evidence. We will not draft a workforce statement, a certification claim or a social value commitment you cannot substantiate or deliver. That protects your declaration and your contract, not just our position.</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Legal drafting discipline. Exclusion grounds declarations, self-cleaning statements and compliance matrices are read the way a lawyer reads them, because that is how an evaluator reads them.</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You keep the asset. Deliverables are assigned to you on payment, and your Evidence Bank is built to be used without us.</w:t>
      </w:r>
    </w:p>
    <w:p>
      <w:pPr>
        <w:keepNext/>
        <w:spacing w:after="100" w:before="200"/>
      </w:pPr>
      <w:r>
        <w:rPr>
          <w:rFonts w:ascii="Times New Roman" w:cs="Times New Roman" w:eastAsia="Times New Roman" w:hAnsi="Times New Roman"/>
          <w:b/>
          <w:bCs/>
          <w:i w:val="false"/>
          <w:iCs w:val="false"/>
          <w:caps w:val="false"/>
          <w:sz w:val="24"/>
          <w:szCs w:val="24"/>
        </w:rPr>
        <w:t xml:space="preserve">HOW WE WORK</w:t>
      </w:r>
    </w:p>
    <w:p>
      <w:pPr>
        <w:spacing w:after="100"/>
      </w:pPr>
      <w:r>
        <w:rPr>
          <w:rFonts w:ascii="Times New Roman" w:cs="Times New Roman" w:eastAsia="Times New Roman" w:hAnsi="Times New Roman"/>
          <w:b w:val="false"/>
          <w:bCs w:val="false"/>
          <w:i w:val="false"/>
          <w:iCs w:val="false"/>
          <w:caps w:val="false"/>
          <w:sz w:val="24"/>
          <w:szCs w:val="24"/>
        </w:rPr>
        <w:t xml:space="preserve">1  Qualify — conflict check, then score the opportunity; if you should not bid we say so and why.   2  Scope and quote — fixed fee, quoted in advance, exclusions written down, no hourly billing.   3  Build the matrix — every requirement logged against a response and every pass/fail gate identified before a word is drafted.   4  Draft and evidence — every factual claim traced to a document you hold or a confirmation you have given; unevidenced claims are removed, not softened.   5  Quality gate — nothing leaves us without a completed final QA review against a compliance, accuracy, quality and confidentiality checklist.   6  Close the loop — win or lose, we take the debrief where one is offered and add what we learned to your evidence base.</w:t>
      </w:r>
    </w:p>
    <w:p>
      <w:pPr>
        <w:keepNext/>
        <w:spacing w:after="100" w:before="200"/>
      </w:pPr>
      <w:r>
        <w:rPr>
          <w:rFonts w:ascii="Times New Roman" w:cs="Times New Roman" w:eastAsia="Times New Roman" w:hAnsi="Times New Roman"/>
          <w:b/>
          <w:bCs/>
          <w:i w:val="false"/>
          <w:iCs w:val="false"/>
          <w:caps w:val="false"/>
          <w:sz w:val="24"/>
          <w:szCs w:val="24"/>
        </w:rPr>
        <w:t xml:space="preserve">SECTORS</w:t>
      </w:r>
    </w:p>
    <w:p>
      <w:pPr>
        <w:spacing w:after="100"/>
      </w:pPr>
      <w:r>
        <w:rPr>
          <w:rFonts w:ascii="Times New Roman" w:cs="Times New Roman" w:eastAsia="Times New Roman" w:hAnsi="Times New Roman"/>
          <w:b w:val="false"/>
          <w:bCs w:val="false"/>
          <w:i w:val="false"/>
          <w:iCs w:val="false"/>
          <w:caps w:val="false"/>
          <w:sz w:val="24"/>
          <w:szCs w:val="24"/>
        </w:rPr>
        <w:t xml:space="preserve">Construction and trades · Health, social care and NHS-adjacent supply · Facilities management · Housing and maintenance · Professional and business services · Education supply</w:t>
      </w:r>
    </w:p>
    <w:p>
      <w:pPr>
        <w:keepNext/>
        <w:spacing w:after="100" w:before="200"/>
      </w:pPr>
      <w:r>
        <w:rPr>
          <w:rFonts w:ascii="Times New Roman" w:cs="Times New Roman" w:eastAsia="Times New Roman" w:hAnsi="Times New Roman"/>
          <w:b/>
          <w:bCs/>
          <w:i w:val="false"/>
          <w:iCs w:val="false"/>
          <w:caps w:val="false"/>
          <w:sz w:val="24"/>
          <w:szCs w:val="24"/>
        </w:rPr>
        <w:t xml:space="preserve">INDICATIVE FEES</w:t>
      </w:r>
    </w:p>
    <w:p>
      <w:pPr>
        <w:spacing w:after="100"/>
      </w:pPr>
      <w:r>
        <w:rPr>
          <w:rFonts w:ascii="Times New Roman" w:cs="Times New Roman" w:eastAsia="Times New Roman" w:hAnsi="Times New Roman"/>
          <w:b w:val="false"/>
          <w:bCs w:val="false"/>
          <w:i w:val="false"/>
          <w:iCs w:val="false"/>
          <w:caps w:val="false"/>
          <w:sz w:val="24"/>
          <w:szCs w:val="24"/>
        </w:rPr>
        <w:t xml:space="preserve">Fixed fee per deliverable, quoted in advance. No success fee, no commission, no percentage of contract value. Bid Fit Score from £150 · Bid Readiness Assessment from £250 · Tender and PQQ writing from £500 · Evidence Bank development from £800. Full Schedule of Fees on request.</w:t>
      </w:r>
    </w:p>
    <w:p>
      <w:pPr>
        <w:keepNext/>
        <w:spacing w:after="100" w:before="200"/>
      </w:pPr>
      <w:r>
        <w:rPr>
          <w:rFonts w:ascii="Times New Roman" w:cs="Times New Roman" w:eastAsia="Times New Roman" w:hAnsi="Times New Roman"/>
          <w:b/>
          <w:bCs/>
          <w:i w:val="false"/>
          <w:iCs w:val="false"/>
          <w:caps w:val="false"/>
          <w:sz w:val="24"/>
          <w:szCs w:val="24"/>
        </w:rPr>
        <w:t xml:space="preserve">CREDENTIALS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166"/>
        <w:gridCol w:w="2347"/>
        <w:gridCol w:w="2166"/>
      </w:tblGrid>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Company number</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[COMPANY REGISTRATION NUMBER]</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ICO registration</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[ICO REGISTRATION NUMBER]</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Registered office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[REGISTERED OFFICE ADDRESS]</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VAT</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 NOT REGISTERED]</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Professional indemnity</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£[LIMIT] — [INSURER], expires [DATE]</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Public liability</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£[LIMIT] — [INSURER]</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Employers' liability</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[£[LIMIT] / NOT APPLICABLE]</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Cyber insurance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[£[LIMIT] / NOT HELD]</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Cyber Essentials</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[CERTIFIED, EXPIRES [DATE] / NOT CERTIFIED]</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Quality management</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Aligned to ISO 9001 principles; not certified</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Environmental management</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Aligned to ISO 14001 principles; not certified</w:t>
            </w:r>
          </w:p>
        </w:tc>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Carbon Reduction Plan</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[HELD / NOT APPLICABLE — BELOW PPN 006 THRESHOLD]</w:t>
            </w:r>
          </w:p>
        </w:tc>
      </w:tr>
    </w:tbl>
    <w:p>
      <w:pPr>
        <w:spacing w:after="100"/>
      </w:pPr>
      <w:r>
        <w:rPr>
          <w:rFonts w:ascii="Times New Roman" w:cs="Times New Roman" w:eastAsia="Times New Roman" w:hAnsi="Times New Roman"/>
          <w:b w:val="false"/>
          <w:bCs w:val="false"/>
          <w:i w:val="false"/>
          <w:iCs w:val="false"/>
          <w:caps w:val="false"/>
          <w:sz w:val="24"/>
          <w:szCs w:val="24"/>
        </w:rPr>
        <w:t xml:space="preserve">Policies held, available on request: business conduct (anti-bribery, conflicts, complaints, health and safety); information governance (AI use, information security, business continuity, data protection); equality, diversity and inclusion; environmental; quality; safeguarding. Every engagement is issued with written terms, a data processing agreement, an IP schedule and an AI use addendum.</w:t>
      </w:r>
    </w:p>
    <w:p>
      <w:pPr>
        <w:spacing w:after="100"/>
      </w:pPr>
      <w:r>
        <w:rPr>
          <w:rFonts w:ascii="Times New Roman" w:cs="Times New Roman" w:eastAsia="Times New Roman" w:hAnsi="Times New Roman"/>
          <w:b w:val="false"/>
          <w:bCs w:val="false"/>
          <w:i/>
          <w:iCs/>
          <w:caps w:val="false"/>
          <w:sz w:val="24"/>
          <w:szCs w:val="24"/>
        </w:rPr>
        <w:t xml:space="preserve">We state only what we hold. Where an item above reads “not certified” or “not held”, that is the accurate position, and we will not represent otherwise in a tender response — ours or yours.</w:t>
      </w:r>
    </w:p>
    <w:p>
      <w:pPr>
        <w:keepNext/>
        <w:spacing w:after="100" w:before="200"/>
      </w:pPr>
      <w:r>
        <w:rPr>
          <w:rFonts w:ascii="Times New Roman" w:cs="Times New Roman" w:eastAsia="Times New Roman" w:hAnsi="Times New Roman"/>
          <w:b/>
          <w:bCs/>
          <w:i w:val="false"/>
          <w:iCs w:val="false"/>
          <w:caps w:val="false"/>
          <w:sz w:val="24"/>
          <w:szCs w:val="24"/>
        </w:rPr>
        <w:t xml:space="preserve">TRACK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805"/>
        <w:gridCol w:w="1625"/>
        <w:gridCol w:w="3610"/>
      </w:tblGrid>
      <w:tr>
        <w:trPr>
          <w:tblHeader/>
        </w:trPr>
        <w:tc>
          <w:tcPr>
            <w:tcW w:type="dxa" w:w="198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Client / sector</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Service</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Value band</w:t>
            </w:r>
          </w:p>
        </w:tc>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Outcome</w:t>
            </w:r>
          </w:p>
        </w:tc>
      </w:tr>
      <w:tr>
        <w:trPr>
          <w:tblHeader w:val="false"/>
        </w:trPr>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[SECTOR]</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[SERVICE]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[BAND]</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[OUTCOME]</w:t>
            </w:r>
          </w:p>
        </w:tc>
      </w:tr>
      <w:tr>
        <w:trPr>
          <w:tblHeader w:val="false"/>
        </w:trPr>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[SECTOR]</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[SERVICE]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[BAND]</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[OUTCOME]</w:t>
            </w:r>
          </w:p>
        </w:tc>
      </w:tr>
      <w:tr>
        <w:trPr>
          <w:tblHeader w:val="false"/>
        </w:trPr>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[SECTOR]</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[SERVICE]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[BAND]</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[OUTCOME]</w:t>
            </w:r>
          </w:p>
        </w:tc>
      </w:tr>
    </w:tbl>
    <w:p>
      <w:pPr>
        <w:spacing w:after="100"/>
      </w:pPr>
      <w:r>
        <w:rPr>
          <w:rFonts w:ascii="Times New Roman" w:cs="Times New Roman" w:eastAsia="Times New Roman" w:hAnsi="Times New Roman"/>
          <w:b w:val="false"/>
          <w:bCs w:val="false"/>
          <w:i/>
          <w:iCs/>
          <w:caps w:val="false"/>
          <w:sz w:val="24"/>
          <w:szCs w:val="24"/>
        </w:rPr>
        <w:t xml:space="preserve">Full case studies available on request. Clients are named only with their written consent.</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40"/>
      </w:pPr>
      <w:r>
        <w:rPr>
          <w:rFonts w:ascii="Times New Roman" w:cs="Times New Roman" w:eastAsia="Times New Roman" w:hAnsi="Times New Roman"/>
          <w:b/>
          <w:bCs/>
          <w:i w:val="false"/>
          <w:iCs w:val="false"/>
          <w:caps w:val="false"/>
          <w:sz w:val="24"/>
          <w:szCs w:val="24"/>
        </w:rPr>
        <w:t xml:space="preserve">Contact  </w:t>
      </w:r>
      <w:r>
        <w:rPr>
          <w:rFonts w:ascii="Times New Roman" w:cs="Times New Roman" w:eastAsia="Times New Roman" w:hAnsi="Times New Roman"/>
          <w:b w:val="false"/>
          <w:bCs w:val="false"/>
          <w:i w:val="false"/>
          <w:iCs w:val="false"/>
          <w:caps w:val="false"/>
          <w:sz w:val="24"/>
          <w:szCs w:val="24"/>
        </w:rPr>
        <w:t xml:space="preserve">[CONTACT NAME], [ROLE]  ·  [EMAIL]  ·  [TELEPHONE]  ·  [WEBSITE ADDRESS]</w:t>
      </w:r>
    </w:p>
    <w:p>
      <w:r>
        <w:rPr>
          <w:rFonts w:ascii="Times New Roman" w:cs="Times New Roman" w:eastAsia="Times New Roman" w:hAnsi="Times New Roman"/>
          <w:b w:val="false"/>
          <w:bCs w:val="false"/>
          <w:i w:val="false"/>
          <w:iCs w:val="false"/>
          <w:caps w:val="false"/>
          <w:sz w:val="24"/>
          <w:szCs w:val="24"/>
        </w:rPr>
        <w:t xml:space="preserve">Marhana &amp; Co Consulting Ltd · Company number [COMPANY REGISTRATION NUMBER] · Registered office [REGISTERED OFFICE ADDRESS] · Version [VERSION NUMBER], [DATE]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2026-09-11T10:58:55.382Z</dcterms:created>
  <dcterms:modified xsi:type="dcterms:W3CDTF">2026-09-11T10:58:55.382Z</dcterms:modified>
</cp:coreProperties>
</file>

<file path=docProps/custom.xml><?xml version="1.0" encoding="utf-8"?>
<Properties xmlns="http://schemas.openxmlformats.org/officeDocument/2006/custom-properties" xmlns:vt="http://schemas.openxmlformats.org/officeDocument/2006/docPropsVTypes"/>
</file>