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CLIENT-FACING</w:t>
      </w:r>
    </w:p>
    <w:p>
      <w:pPr>
        <w:spacing w:after="60"/>
      </w:pPr>
      <w:r>
        <w:rPr>
          <w:rFonts w:ascii="Times New Roman" w:cs="Times New Roman" w:eastAsia="Times New Roman" w:hAnsi="Times New Roman"/>
          <w:b/>
          <w:bCs/>
          <w:i w:val="false"/>
          <w:iCs w:val="false"/>
          <w:caps w:val="false"/>
          <w:sz w:val="32"/>
          <w:szCs w:val="32"/>
        </w:rPr>
        <w:t xml:space="preserve">SCHEDULE OF FEES</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Indicative fee bands by service. A quotation for a specific engagement is issued on the Proposal and Fee Quotation form (T14) and is what governs.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Effective from</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[EFFECTIVE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Fee bands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VAT status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[NOT VAT REGISTERED — NO VAT IS CHARGED / VAT REGISTERED, NUMBER [VAT NUMBER] — FEES ARE EXCLUSIVE OF VAT]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Governed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Terms of Engagement, Section D; Scope Schedules Library</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A — HOW WE PRICE</w:t>
      </w:r>
    </w:p>
    <w:p>
      <w:pPr>
        <w:spacing w:after="140"/>
      </w:pPr>
      <w:r>
        <w:rPr>
          <w:rFonts w:ascii="Times New Roman" w:cs="Times New Roman" w:eastAsia="Times New Roman" w:hAnsi="Times New Roman"/>
          <w:b w:val="false"/>
          <w:bCs w:val="false"/>
          <w:i w:val="false"/>
          <w:iCs w:val="false"/>
          <w:caps w:val="false"/>
          <w:sz w:val="24"/>
          <w:szCs w:val="24"/>
        </w:rPr>
        <w:t xml:space="preserve">A.1  Fixed fee per deliverable. Every engagement is quoted as a fixed fee for a defined deliverable before work starts. You are not billed by the hour and you do not receive an invoice larger than the quotation.</w:t>
      </w:r>
    </w:p>
    <w:p>
      <w:pPr>
        <w:spacing w:after="140"/>
      </w:pPr>
      <w:r>
        <w:rPr>
          <w:rFonts w:ascii="Times New Roman" w:cs="Times New Roman" w:eastAsia="Times New Roman" w:hAnsi="Times New Roman"/>
          <w:b w:val="false"/>
          <w:bCs w:val="false"/>
          <w:i w:val="false"/>
          <w:iCs w:val="false"/>
          <w:caps w:val="false"/>
          <w:sz w:val="24"/>
          <w:szCs w:val="24"/>
        </w:rPr>
        <w:t xml:space="preserve">A.2  Written scope and exclusions. The quotation states what is included and what is not. Anything outside it is quoted separately and only proceeds on your written instruction.</w:t>
      </w:r>
    </w:p>
    <w:p>
      <w:pPr>
        <w:spacing w:after="140"/>
      </w:pPr>
      <w:r>
        <w:rPr>
          <w:rFonts w:ascii="Times New Roman" w:cs="Times New Roman" w:eastAsia="Times New Roman" w:hAnsi="Times New Roman"/>
          <w:b w:val="false"/>
          <w:bCs w:val="false"/>
          <w:i w:val="false"/>
          <w:iCs w:val="false"/>
          <w:caps w:val="false"/>
          <w:sz w:val="24"/>
          <w:szCs w:val="24"/>
        </w:rPr>
        <w:t xml:space="preserve">A.3  No success fee, no commission, no percentage of contract value. We do not price on outcome. Contingent fee arrangements create an incentive to submit a bid that should not be submitted and to make claims that cannot be evidenced, and contracting authorities are entitled to ask about them. Our fee is the same whether you win or lose.</w:t>
      </w:r>
    </w:p>
    <w:p>
      <w:pPr>
        <w:spacing w:after="140"/>
      </w:pPr>
      <w:r>
        <w:rPr>
          <w:rFonts w:ascii="Times New Roman" w:cs="Times New Roman" w:eastAsia="Times New Roman" w:hAnsi="Times New Roman"/>
          <w:b w:val="false"/>
          <w:bCs w:val="false"/>
          <w:i w:val="false"/>
          <w:iCs w:val="false"/>
          <w:caps w:val="false"/>
          <w:sz w:val="24"/>
          <w:szCs w:val="24"/>
        </w:rPr>
        <w:t xml:space="preserve">A.4  No guarantee of outcome. Evaluation is a matter for the contracting authority. We are engaged to produce a compliant, accurate and well-evidenced submission, not to procure an award. This is recorded at Section E of the Terms of Engagement.</w:t>
      </w:r>
    </w:p>
    <w:p>
      <w:pPr>
        <w:spacing w:after="140"/>
      </w:pPr>
      <w:r>
        <w:rPr>
          <w:rFonts w:ascii="Times New Roman" w:cs="Times New Roman" w:eastAsia="Times New Roman" w:hAnsi="Times New Roman"/>
          <w:b w:val="false"/>
          <w:bCs w:val="false"/>
          <w:i w:val="false"/>
          <w:iCs w:val="false"/>
          <w:caps w:val="false"/>
          <w:sz w:val="24"/>
          <w:szCs w:val="24"/>
        </w:rPr>
        <w:t xml:space="preserve">A.5  The bands below are indicative. They are published so that you can budget before you approach us, not to bind either of us in advance of a quotation.</w:t>
      </w:r>
    </w:p>
    <w:p>
      <w:pPr>
        <w:keepNext/>
        <w:spacing w:after="140" w:before="320"/>
      </w:pPr>
      <w:r>
        <w:rPr>
          <w:rFonts w:ascii="Times New Roman" w:cs="Times New Roman" w:eastAsia="Times New Roman" w:hAnsi="Times New Roman"/>
          <w:b/>
          <w:bCs/>
          <w:i w:val="false"/>
          <w:iCs w:val="false"/>
          <w:caps w:val="false"/>
          <w:sz w:val="24"/>
          <w:szCs w:val="24"/>
        </w:rPr>
        <w:t xml:space="preserve">SECTION B — FEE BANDS BY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534"/>
        <w:gridCol w:w="5326"/>
      </w:tblGrid>
      <w:tr>
        <w:trPr>
          <w:tblHeader/>
        </w:trPr>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Service</w:t>
            </w:r>
          </w:p>
        </w:tc>
        <w:tc>
          <w:tcPr>
            <w:tcW w:type="dxa" w:w="153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Fee band</w:t>
            </w:r>
          </w:p>
        </w:tc>
        <w:tc>
          <w:tcPr>
            <w:tcW w:type="dxa" w:w="532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Core deliverable</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Bid Fit Score</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£150 – £350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Written scorecard covering the opportunity, scoring against fit criteria, disqualifying checks, strengths to emphasise, gaps and required actions, clarifications to raise, the cost of bidding, and a bid or no-bid recommendation</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Bid Readiness Assessment</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£250 – £500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Rated readiness report across corporate and financial standing, insurance, accreditation, sector-specific requirements, policy and documentation, evidence and track record, and capacity, with a gap register, prioritised actions and a statement of what you can credibly bid for now</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Post-tender debrief analysis</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£200 – £450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Criterion-by-criterion analysis of the scores, separating drafting failure from capability gap, what scored well, an improvement plan, procedural observations and a rebid assessment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Bid review and rewrite</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£250 – £600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Your draft revised, plus a change summary identifying every material edit and the scoring reason for it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Tender and PQQ writing</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£500 – £2,000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Complete drafted response, compliance matrix, and evidence gap register</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Social value statements</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£300 – £900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Social value response plus a commitments register listing each commitment, its measure, its target and its owner</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Financial and costed business case</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£300 – £800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Financial and costing narrative sections drafted to the authority's question set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Accreditation support</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£300 – £700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Completed evidence pack in the format required by the scheme</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Evidence Bank development</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£800 – £2,000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Structured evidence library, criteria mapping index, gap register, standard response set and a maintenance protocol you can run without us</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Framework applications</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£800 – £2,500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Complete framework application, compliance matrix and evidence gap register</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Consortium bid coordination</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£900 – £2,500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Complete consortium response, compliance matrix, response tracker and gap register. Engaged under the Consortium Engagement Terms rather than the standard Terms</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Contract mobilisation</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£400 – £1,200</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Obligations register drawn from the submission, reporting framework and templates, and a mobilisation checklist</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Social value delivery reporting</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£300 – £600 per cycle</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Periodic report against your contractual commitments, with an updated commitments register</w:t>
            </w:r>
          </w:p>
        </w:tc>
      </w:tr>
      <w:tr>
        <w:trPr>
          <w:tblHeader w:val="false"/>
        </w:trPr>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Retainer</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See Section C</w:t>
            </w:r>
          </w:p>
        </w:tc>
        <w:tc>
          <w:tcPr>
            <w:tcW w:type="dxa" w:w="532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Continuous monitoring and reporting. Authorship of tender responses is never included in the retainer fee</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C — RETAINER</w:t>
      </w:r>
    </w:p>
    <w:p>
      <w:pPr>
        <w:spacing w:after="140"/>
      </w:pPr>
      <w:r>
        <w:rPr>
          <w:rFonts w:ascii="Times New Roman" w:cs="Times New Roman" w:eastAsia="Times New Roman" w:hAnsi="Times New Roman"/>
          <w:b w:val="false"/>
          <w:bCs w:val="false"/>
          <w:i/>
          <w:iCs/>
          <w:caps w:val="false"/>
          <w:sz w:val="24"/>
          <w:szCs w:val="24"/>
        </w:rPr>
        <w:t xml:space="preserve">A retainer covers monitoring, reporting and readiness. It does not cover writing. Where an opportunity is identified and you decide to bid, the authorship is quoted separately at the band in Section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444"/>
        <w:gridCol w:w="3069"/>
        <w:gridCol w:w="3069"/>
      </w:tblGrid>
      <w:tr>
        <w:trPr>
          <w:tblHeader/>
        </w:trPr>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Tier</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Monthly fee</w:t>
            </w:r>
          </w:p>
        </w:tc>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Included</w:t>
            </w:r>
          </w:p>
        </w:tc>
        <w:tc>
          <w:tcPr>
            <w:tcW w:type="dxa" w:w="306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Not included</w:t>
            </w:r>
          </w:p>
        </w:tc>
      </w:tr>
      <w:tr>
        <w:trPr>
          <w:tblHeader w:val="false"/>
        </w:trPr>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[TIER 1 NAME]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£[FEE] per month</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Opportunity monitoring against agreed search parameters; monthly opportunity report; live pipeline tracking; evidence and accreditation expiry watch</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Authorship of any response; bid fit scoring beyond [NUMBER] per month; social value drafting; mobilisation</w:t>
            </w:r>
          </w:p>
        </w:tc>
      </w:tr>
      <w:tr>
        <w:trPr>
          <w:tblHeader w:val="false"/>
        </w:trPr>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[TIER 2 NAME]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£[FEE] per month</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 above, plus [NUMBER] Bid Fit Scores per month; sector and policy development briefing; Evidence Bank maintenance</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Authorship of any response; framework applications; consortium coordination</w:t>
            </w:r>
          </w:p>
        </w:tc>
      </w:tr>
      <w:tr>
        <w:trPr>
          <w:tblHeader w:val="false"/>
        </w:trPr>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[TIER 3 NAME]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£[FEE] per month</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 above, plus priority turnaround, quarterly readiness reassessment, and [NUMBER] hours of drafting support per month</w:t>
            </w:r>
          </w:p>
        </w:tc>
        <w:tc>
          <w:tcPr>
            <w:tcW w:type="dxa" w:w="306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Authorship beyond the included hours; consortium coordination</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C.1  Minimum term [NUMBER] months, thereafter terminable on [NUMBER] days' written notice by either party.</w:t>
      </w:r>
    </w:p>
    <w:p>
      <w:pPr>
        <w:spacing w:after="140"/>
      </w:pPr>
      <w:r>
        <w:rPr>
          <w:rFonts w:ascii="Times New Roman" w:cs="Times New Roman" w:eastAsia="Times New Roman" w:hAnsi="Times New Roman"/>
          <w:b w:val="false"/>
          <w:bCs w:val="false"/>
          <w:i w:val="false"/>
          <w:iCs w:val="false"/>
          <w:caps w:val="false"/>
          <w:sz w:val="24"/>
          <w:szCs w:val="24"/>
        </w:rPr>
        <w:t xml:space="preserve">C.2  Unused inclusions do not roll over between months.</w:t>
      </w:r>
    </w:p>
    <w:p>
      <w:pPr>
        <w:spacing w:after="140"/>
      </w:pPr>
      <w:r>
        <w:rPr>
          <w:rFonts w:ascii="Times New Roman" w:cs="Times New Roman" w:eastAsia="Times New Roman" w:hAnsi="Times New Roman"/>
          <w:b w:val="false"/>
          <w:bCs w:val="false"/>
          <w:i w:val="false"/>
          <w:iCs w:val="false"/>
          <w:caps w:val="false"/>
          <w:sz w:val="24"/>
          <w:szCs w:val="24"/>
        </w:rPr>
        <w:t xml:space="preserve">C.3  The retainer scope that governs is Section R.C of the Retainer Schedule, not this table.</w:t>
      </w:r>
    </w:p>
    <w:p>
      <w:pPr>
        <w:keepNext/>
        <w:spacing w:after="140" w:before="320"/>
      </w:pPr>
      <w:r>
        <w:rPr>
          <w:rFonts w:ascii="Times New Roman" w:cs="Times New Roman" w:eastAsia="Times New Roman" w:hAnsi="Times New Roman"/>
          <w:b/>
          <w:bCs/>
          <w:i w:val="false"/>
          <w:iCs w:val="false"/>
          <w:caps w:val="false"/>
          <w:sz w:val="24"/>
          <w:szCs w:val="24"/>
        </w:rPr>
        <w:t xml:space="preserve">SECTION D — WHERE A QUOTATION FALLS IN THE BAND</w:t>
      </w:r>
    </w:p>
    <w:p>
      <w:pPr>
        <w:spacing w:after="140"/>
      </w:pPr>
      <w:r>
        <w:rPr>
          <w:rFonts w:ascii="Times New Roman" w:cs="Times New Roman" w:eastAsia="Times New Roman" w:hAnsi="Times New Roman"/>
          <w:b w:val="false"/>
          <w:bCs w:val="false"/>
          <w:i/>
          <w:iCs/>
          <w:caps w:val="false"/>
          <w:sz w:val="24"/>
          <w:szCs w:val="24"/>
        </w:rPr>
        <w:t xml:space="preserve">These are the factors that move a quotation up or down. They are listed so that a quotation is not a surprise.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Moves the fee toward the lower end</w:t>
            </w:r>
          </w:p>
        </w:tc>
        <w:tc>
          <w:tcPr>
            <w:tcW w:type="dxa" w:w="451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Moves the fee toward the upper end</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Your evidence is organised and supplied in full at the outset</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 have to locate, chase or reconstruct your evidence</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Question set is short, or substantially reusable from previous responses</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Long question set, high word counts, or every answer bespoke</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 single decision-maker on your side who can confirm facts quickly</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Multiple approvers, or facts that need verification across sites or departments</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Two weeks or more to the deadline</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Short notice, or work required outside normal working hours</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Standard sector with familiar requirements</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Specialist regulatory content requiring external verification</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Single-entity bid</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Consortium or subcontractor chain requiring coordination</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No personal data in the materials</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Personnel records, case data or service user material requiring additional handling controls</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E — WHAT IS NOT INCLUDED IN ANY FEE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Portal registration fees, accreditation scheme fees, certification body fees and any third-party assessment costs.</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Calculation of greenhouse gas emissions figures. We structure and draft Carbon Reduction Plans; the figures are supplied by you or by a carbon consultant you instruct.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Financial statements, accountant's certificates, audit work, or anything requiring a regulated professional we are not.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Legal advice. We are not a law firm, do not provide reserved legal activities, and do not advise on the interpretation of contract terms you are asked to accept.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Procurement challenge, standstill correspondence or litigation support.</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Travel and subsistence, which are charged at cost and only where agreed in writing in advance.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Delivery of the commitments made in a submission. We draft them; you deliver them.</w:t>
      </w:r>
    </w:p>
    <w:p>
      <w:pPr>
        <w:keepNext/>
        <w:spacing w:after="140" w:before="320"/>
      </w:pPr>
      <w:r>
        <w:rPr>
          <w:rFonts w:ascii="Times New Roman" w:cs="Times New Roman" w:eastAsia="Times New Roman" w:hAnsi="Times New Roman"/>
          <w:b/>
          <w:bCs/>
          <w:i w:val="false"/>
          <w:iCs w:val="false"/>
          <w:caps w:val="false"/>
          <w:sz w:val="24"/>
          <w:szCs w:val="24"/>
        </w:rPr>
        <w:t xml:space="preserve">SECTION F — PAYMENT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Term</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Detail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Payment period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[14 / 30] days from the date of invoice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Deposit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per cent of the quoted fee on acceptance for engagements above £[THRESHOLD], with the balance on delivery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New clients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First engagement [payable in advance / 50 per cent deposit]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Retainers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Monthly in advance, by standing order or direct debit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Method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Bank transfer to the account stated on the invoice. We will never notify a change of bank details by email alone — telephone us on a number you already hold before acting on any such notice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Late payment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Interest and compensation may be claimed under the Late Payment of Commercial Debts (Interest) Act 1998, and as provided at Section D.5 of the Terms of Engagement. Statutory interest runs at 8 per cent above the Bank of England base rate, together with fixed sum compensation and the reasonable costs of recovery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Suspension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 may suspend work and withhold deliverables on overdue payment, in accordance with Section D.5 of the Terms of Engagement. Where a tender deadline is imminent we will give written notice before doing so</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Expenses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At cost, agreed in writing in advance</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G — QUOTATIONS</w:t>
      </w:r>
    </w:p>
    <w:p>
      <w:pPr>
        <w:spacing w:after="140"/>
      </w:pPr>
      <w:r>
        <w:rPr>
          <w:rFonts w:ascii="Times New Roman" w:cs="Times New Roman" w:eastAsia="Times New Roman" w:hAnsi="Times New Roman"/>
          <w:b w:val="false"/>
          <w:bCs w:val="false"/>
          <w:i w:val="false"/>
          <w:iCs w:val="false"/>
          <w:caps w:val="false"/>
          <w:sz w:val="24"/>
          <w:szCs w:val="24"/>
        </w:rPr>
        <w:t xml:space="preserve">G.1  A quotation is issued on the Proposal and Fee Quotation form and is valid for [NUMBER] days from issue.</w:t>
      </w:r>
    </w:p>
    <w:p>
      <w:pPr>
        <w:spacing w:after="140"/>
      </w:pPr>
      <w:r>
        <w:rPr>
          <w:rFonts w:ascii="Times New Roman" w:cs="Times New Roman" w:eastAsia="Times New Roman" w:hAnsi="Times New Roman"/>
          <w:b w:val="false"/>
          <w:bCs w:val="false"/>
          <w:i w:val="false"/>
          <w:iCs w:val="false"/>
          <w:caps w:val="false"/>
          <w:sz w:val="24"/>
          <w:szCs w:val="24"/>
        </w:rPr>
        <w:t xml:space="preserve">G.2  The quotation, together with the Terms of Engagement and any applicable schedules, is the agreement. This Schedule of Fees is indicative and does not form part of it.</w:t>
      </w:r>
    </w:p>
    <w:p>
      <w:pPr>
        <w:spacing w:after="140"/>
      </w:pPr>
      <w:r>
        <w:rPr>
          <w:rFonts w:ascii="Times New Roman" w:cs="Times New Roman" w:eastAsia="Times New Roman" w:hAnsi="Times New Roman"/>
          <w:b w:val="false"/>
          <w:bCs w:val="false"/>
          <w:i w:val="false"/>
          <w:iCs w:val="false"/>
          <w:caps w:val="false"/>
          <w:sz w:val="24"/>
          <w:szCs w:val="24"/>
        </w:rPr>
        <w:t xml:space="preserve">G.3  Where the scope changes after acceptance, the change and its fee effect are recorded in writing before the additional work begins. We do not deliver additional work and invoice for it afterwards.</w:t>
      </w:r>
    </w:p>
    <w:p>
      <w:pPr>
        <w:spacing w:after="140"/>
      </w:pPr>
      <w:r>
        <w:rPr>
          <w:rFonts w:ascii="Times New Roman" w:cs="Times New Roman" w:eastAsia="Times New Roman" w:hAnsi="Times New Roman"/>
          <w:b w:val="false"/>
          <w:bCs w:val="false"/>
          <w:i w:val="false"/>
          <w:iCs w:val="false"/>
          <w:caps w:val="false"/>
          <w:sz w:val="24"/>
          <w:szCs w:val="24"/>
        </w:rPr>
        <w:t xml:space="preserve">G.4  Fee bands are reviewed annually. A quotation already accepted is not affected by a subsequent review.</w:t>
      </w:r>
    </w:p>
    <w:p>
      <w:pPr>
        <w:keepNext/>
        <w:spacing w:after="140" w:before="320"/>
      </w:pPr>
      <w:r>
        <w:rPr>
          <w:rFonts w:ascii="Times New Roman" w:cs="Times New Roman" w:eastAsia="Times New Roman" w:hAnsi="Times New Roman"/>
          <w:b/>
          <w:bCs/>
          <w:i w:val="false"/>
          <w:iCs w:val="false"/>
          <w:caps w:val="false"/>
          <w:sz w:val="24"/>
          <w:szCs w:val="24"/>
        </w:rPr>
        <w:t xml:space="preserve">SECTION H — IF YOU ARE NOT SURE WHICH SERVICE YOU NEED</w:t>
      </w:r>
    </w:p>
    <w:p>
      <w:pPr>
        <w:spacing w:after="140"/>
      </w:pPr>
      <w:r>
        <w:rPr>
          <w:rFonts w:ascii="Times New Roman" w:cs="Times New Roman" w:eastAsia="Times New Roman" w:hAnsi="Times New Roman"/>
          <w:b w:val="false"/>
          <w:bCs w:val="false"/>
          <w:i w:val="false"/>
          <w:iCs w:val="false"/>
          <w:caps w:val="false"/>
          <w:sz w:val="24"/>
          <w:szCs w:val="24"/>
        </w:rPr>
        <w:t xml:space="preserve">H.1  Start with a Bid Fit Score if you have a specific opportunity in front of you, or a Bid Readiness Assessment if you keep being eliminated early and do not know why.</w:t>
      </w:r>
    </w:p>
    <w:p>
      <w:pPr>
        <w:spacing w:after="140"/>
      </w:pPr>
      <w:r>
        <w:rPr>
          <w:rFonts w:ascii="Times New Roman" w:cs="Times New Roman" w:eastAsia="Times New Roman" w:hAnsi="Times New Roman"/>
          <w:b w:val="false"/>
          <w:bCs w:val="false"/>
          <w:i w:val="false"/>
          <w:iCs w:val="false"/>
          <w:caps w:val="false"/>
          <w:sz w:val="24"/>
          <w:szCs w:val="24"/>
        </w:rPr>
        <w:t xml:space="preserve">H.2  Both are deliberately the cheapest things we sell. If the answer is that you should not bid, or that you are not yet in a position to, that is a cheaper answer than the alternative.</w:t>
      </w:r>
    </w:p>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2026-09-11T10:51:29.449Z</dcterms:created>
  <dcterms:modified xsi:type="dcterms:W3CDTF">2026-09-11T10:51:29.449Z</dcterms:modified>
</cp:coreProperties>
</file>

<file path=docProps/custom.xml><?xml version="1.0" encoding="utf-8"?>
<Properties xmlns="http://schemas.openxmlformats.org/officeDocument/2006/custom-properties" xmlns:vt="http://schemas.openxmlformats.org/officeDocument/2006/docPropsVTypes"/>
</file>