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15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настройка динамической маршрутизации между территориями организации.</w:t>
      </w:r>
    </w:p>
    <w:bookmarkEnd w:id="20"/>
    <w:bookmarkStart w:id="4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Настраиваем маршрутизатор msk-donskaya-gw-1 (Рис. 1.1).</w:t>
      </w:r>
    </w:p>
    <w:p>
      <w:pPr>
        <w:pStyle w:val="CaptionedFigure"/>
      </w:pPr>
      <w:r>
        <w:drawing>
          <wp:inline>
            <wp:extent cx="5128313" cy="939977"/>
            <wp:effectExtent b="0" l="0" r="0" t="0"/>
            <wp:docPr descr="Настройка маршрутизатора msk-donskaya-gw-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313" cy="939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msk-donskaya-gw-1</w:t>
      </w:r>
    </w:p>
    <w:p>
      <w:pPr>
        <w:pStyle w:val="BodyText"/>
      </w:pPr>
      <w:r>
        <w:t xml:space="preserve">Проверяем состояние протокола OSPF на маршрутизаторе msk-donskaya-gw-1 (Рис. 1.2).</w:t>
      </w:r>
    </w:p>
    <w:p>
      <w:pPr>
        <w:pStyle w:val="CaptionedFigure"/>
      </w:pPr>
      <w:r>
        <w:drawing>
          <wp:inline>
            <wp:extent cx="5160285" cy="7097790"/>
            <wp:effectExtent b="0" l="0" r="0" t="0"/>
            <wp:docPr descr="Проверка состояния протокола OSPF на маршрутизаторе msk-donskaya-gw-1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285" cy="7097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состояния протокола OSPF на маршрутизаторе msk-donskaya-gw-1</w:t>
      </w:r>
    </w:p>
    <w:p>
      <w:pPr>
        <w:pStyle w:val="BodyText"/>
      </w:pPr>
      <w:r>
        <w:t xml:space="preserve">Настраиваем маршрутизатор msk-q42-gw-1 (Рис. 1.3).</w:t>
      </w:r>
    </w:p>
    <w:p>
      <w:pPr>
        <w:pStyle w:val="CaptionedFigure"/>
      </w:pPr>
      <w:r>
        <w:drawing>
          <wp:inline>
            <wp:extent cx="4878931" cy="991132"/>
            <wp:effectExtent b="0" l="0" r="0" t="0"/>
            <wp:docPr descr="Настройка маршрутизатора msk-q42-gw-1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931" cy="991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msk-q42-gw-1</w:t>
      </w:r>
    </w:p>
    <w:p>
      <w:pPr>
        <w:pStyle w:val="BodyText"/>
      </w:pPr>
      <w:r>
        <w:t xml:space="preserve">Настраиваем маршрутизирующий коммутатор msk-hostel-gw-1 (Рис. 1.4)</w:t>
      </w:r>
    </w:p>
    <w:p>
      <w:pPr>
        <w:pStyle w:val="CaptionedFigure"/>
      </w:pPr>
      <w:r>
        <w:drawing>
          <wp:inline>
            <wp:extent cx="5013213" cy="984738"/>
            <wp:effectExtent b="0" l="0" r="0" t="0"/>
            <wp:docPr descr="Настройка маршрутизирующего коммутатора msk-hostel-gw-1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213" cy="984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маршрутизирующего коммутатора msk-hostel-gw-1</w:t>
      </w:r>
    </w:p>
    <w:p>
      <w:pPr>
        <w:pStyle w:val="BodyText"/>
      </w:pPr>
      <w:r>
        <w:t xml:space="preserve">Настраиваем маршрутизатор sch-sochi-gw-1 (Рис. 1.5).</w:t>
      </w:r>
    </w:p>
    <w:p>
      <w:pPr>
        <w:pStyle w:val="CaptionedFigure"/>
      </w:pPr>
      <w:r>
        <w:drawing>
          <wp:inline>
            <wp:extent cx="4974847" cy="741751"/>
            <wp:effectExtent b="0" l="0" r="0" t="0"/>
            <wp:docPr descr="Настройка маршрутизатора sch-sochi-gw-1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847" cy="741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sch-sochi-gw-1</w:t>
      </w:r>
    </w:p>
    <w:p>
      <w:pPr>
        <w:pStyle w:val="BodyText"/>
      </w:pPr>
      <w:r>
        <w:t xml:space="preserve">Настраиваем интерфейсы коммутатора provider-sw-1 (Рис. 1.6).</w:t>
      </w:r>
    </w:p>
    <w:p>
      <w:pPr>
        <w:pStyle w:val="CaptionedFigure"/>
      </w:pPr>
      <w:r>
        <w:drawing>
          <wp:inline>
            <wp:extent cx="4872537" cy="1841588"/>
            <wp:effectExtent b="0" l="0" r="0" t="0"/>
            <wp:docPr descr="Настройка интерфейсов коммутатора provider-sw-1" title="" id="37" name="Picture"/>
            <a:graphic>
              <a:graphicData uri="http://schemas.openxmlformats.org/drawingml/2006/picture">
                <pic:pic>
                  <pic:nvPicPr>
                    <pic:cNvPr descr="image/2.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537" cy="184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коммутатора provider-sw-1</w:t>
      </w:r>
    </w:p>
    <w:p>
      <w:pPr>
        <w:pStyle w:val="BodyText"/>
      </w:pPr>
      <w:r>
        <w:t xml:space="preserve">Настраиваем маршрутизатор msk-q42-gw-1 (Рис. 1.7).</w:t>
      </w:r>
    </w:p>
    <w:p>
      <w:pPr>
        <w:pStyle w:val="CaptionedFigure"/>
      </w:pPr>
      <w:r>
        <w:drawing>
          <wp:inline>
            <wp:extent cx="5334000" cy="1412297"/>
            <wp:effectExtent b="0" l="0" r="0" t="0"/>
            <wp:docPr descr="Настройка маршрутизатора msk-q42-gw-1" title="" id="40" name="Picture"/>
            <a:graphic>
              <a:graphicData uri="http://schemas.openxmlformats.org/drawingml/2006/picture">
                <pic:pic>
                  <pic:nvPicPr>
                    <pic:cNvPr descr="image/2.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2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msk-q42-gw-1</w:t>
      </w:r>
    </w:p>
    <w:p>
      <w:pPr>
        <w:pStyle w:val="BodyText"/>
      </w:pPr>
      <w:r>
        <w:t xml:space="preserve">Настраиваем коммутатор sch-sochi-sw-1 (Рис. 1.8).</w:t>
      </w:r>
    </w:p>
    <w:p>
      <w:pPr>
        <w:pStyle w:val="CaptionedFigure"/>
      </w:pPr>
      <w:r>
        <w:drawing>
          <wp:inline>
            <wp:extent cx="4846959" cy="1879955"/>
            <wp:effectExtent b="0" l="0" r="0" t="0"/>
            <wp:docPr descr="Настройка коммутатора sch-sochi-sw-1" title="" id="43" name="Picture"/>
            <a:graphic>
              <a:graphicData uri="http://schemas.openxmlformats.org/drawingml/2006/picture">
                <pic:pic>
                  <pic:nvPicPr>
                    <pic:cNvPr descr="image/2.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9" cy="1879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sch-sochi-sw-1</w:t>
      </w:r>
    </w:p>
    <w:p>
      <w:pPr>
        <w:pStyle w:val="BodyText"/>
      </w:pPr>
      <w:r>
        <w:t xml:space="preserve">Настраиваем маршрутизатор sch-sochi-gw-1 (Рис. 1.9).</w:t>
      </w:r>
    </w:p>
    <w:p>
      <w:pPr>
        <w:pStyle w:val="CaptionedFigure"/>
      </w:pPr>
      <w:r>
        <w:drawing>
          <wp:inline>
            <wp:extent cx="5334000" cy="1424794"/>
            <wp:effectExtent b="0" l="0" r="0" t="0"/>
            <wp:docPr descr="Настройка маршрутизатора sch-sochi-gw-1" title="" id="46" name="Picture"/>
            <a:graphic>
              <a:graphicData uri="http://schemas.openxmlformats.org/drawingml/2006/picture">
                <pic:pic>
                  <pic:nvPicPr>
                    <pic:cNvPr descr="image/2.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4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sch-sochi-gw-1</w:t>
      </w:r>
    </w:p>
    <w:bookmarkEnd w:id="48"/>
    <w:bookmarkStart w:id="49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была настроена динамическая маршрутизация между территориями организации.</w:t>
      </w:r>
    </w:p>
    <w:bookmarkEnd w:id="49"/>
    <w:bookmarkStart w:id="50" w:name="список-литературы"/>
    <w:p>
      <w:pPr>
        <w:pStyle w:val="Heading1"/>
      </w:pPr>
      <w:r>
        <w:t xml:space="preserve">Список литературы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2026-05-22T11:27:50Z</dcterms:created>
  <dcterms:modified xsi:type="dcterms:W3CDTF">2026-05-22T11:27:50Z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onofont">
    <vt:lpwstr>Liberation Mono</vt:lpwstr>
  </property>
  <property fmtid="{D5CDD505-2E9C-101B-9397-08002B2CF9AE}" pid="58" name="monofontoptions">
    <vt:lpwstr>Scale=MatchLowercase,Scale=0.94,FakeStretch=0.9</vt:lpwstr>
  </property>
  <property fmtid="{D5CDD505-2E9C-101B-9397-08002B2CF9AE}" pid="59" name="nameInLink">
    <vt:lpwstr>False</vt:lpwstr>
  </property>
  <property fmtid="{D5CDD505-2E9C-101B-9397-08002B2CF9AE}" pid="60" name="numberSections">
    <vt:lpwstr>False</vt:lpwstr>
  </property>
  <property fmtid="{D5CDD505-2E9C-101B-9397-08002B2CF9AE}" pid="61" name="pairDelim">
    <vt:lpwstr>, </vt:lpwstr>
  </property>
  <property fmtid="{D5CDD505-2E9C-101B-9397-08002B2CF9AE}" pid="62" name="papersize">
    <vt:lpwstr>a4</vt:lpwstr>
  </property>
  <property fmtid="{D5CDD505-2E9C-101B-9397-08002B2CF9AE}" pid="63" name="polyglossia-lang">
    <vt:lpwstr/>
  </property>
  <property fmtid="{D5CDD505-2E9C-101B-9397-08002B2CF9AE}" pid="64" name="polyglossia-otherlangs">
    <vt:lpwstr/>
  </property>
  <property fmtid="{D5CDD505-2E9C-101B-9397-08002B2CF9AE}" pid="65" name="rangeDelim">
    <vt:lpwstr>-</vt:lpwstr>
  </property>
  <property fmtid="{D5CDD505-2E9C-101B-9397-08002B2CF9AE}" pid="66" name="refDelim">
    <vt:lpwstr>, </vt:lpwstr>
  </property>
  <property fmtid="{D5CDD505-2E9C-101B-9397-08002B2CF9AE}" pid="67" name="refIndexTemplate">
    <vt:lpwstr>isuf</vt:lpwstr>
  </property>
  <property fmtid="{D5CDD505-2E9C-101B-9397-08002B2CF9AE}" pid="68" name="romanfont">
    <vt:lpwstr>Liberation Serif</vt:lpwstr>
  </property>
  <property fmtid="{D5CDD505-2E9C-101B-9397-08002B2CF9AE}" pid="69" name="romanfontoptions">
    <vt:lpwstr>Ligatures=Common,Ligatures=TeX,Scale=0.94</vt:lpwstr>
  </property>
  <property fmtid="{D5CDD505-2E9C-101B-9397-08002B2CF9AE}" pid="70" name="sansfont">
    <vt:lpwstr>Liberation Sans</vt:lpwstr>
  </property>
  <property fmtid="{D5CDD505-2E9C-101B-9397-08002B2CF9AE}" pid="71" name="sansfontoptions">
    <vt:lpwstr>Ligatures=Common,Ligatures=TeX,Scale=MatchLowercase,Scale=0.94</vt:lpwstr>
  </property>
  <property fmtid="{D5CDD505-2E9C-101B-9397-08002B2CF9AE}" pid="72" name="secHeaderDelim">
    <vt:lpwstr> </vt:lpwstr>
  </property>
  <property fmtid="{D5CDD505-2E9C-101B-9397-08002B2CF9AE}" pid="73" name="secHeaderTemplate">
    <vt:lpwstr>isecHeaderDelim[n]t</vt:lpwstr>
  </property>
  <property fmtid="{D5CDD505-2E9C-101B-9397-08002B2CF9AE}" pid="74" name="secLabels">
    <vt:lpwstr>arabic</vt:lpwstr>
  </property>
  <property fmtid="{D5CDD505-2E9C-101B-9397-08002B2CF9AE}" pid="75" name="secPrefix">
    <vt:lpwstr/>
  </property>
  <property fmtid="{D5CDD505-2E9C-101B-9397-08002B2CF9AE}" pid="76" name="secPrefixTemplate">
    <vt:lpwstr>p i</vt:lpwstr>
  </property>
  <property fmtid="{D5CDD505-2E9C-101B-9397-08002B2CF9AE}" pid="77" name="sectionsDepth">
    <vt:lpwstr>0</vt:lpwstr>
  </property>
  <property fmtid="{D5CDD505-2E9C-101B-9397-08002B2CF9AE}" pid="78" name="subfigGrid">
    <vt:lpwstr>False</vt:lpwstr>
  </property>
  <property fmtid="{D5CDD505-2E9C-101B-9397-08002B2CF9AE}" pid="79" name="subfigLabels">
    <vt:lpwstr>alpha a</vt:lpwstr>
  </property>
  <property fmtid="{D5CDD505-2E9C-101B-9397-08002B2CF9AE}" pid="80" name="subfigureChildTemplate">
    <vt:lpwstr>i</vt:lpwstr>
  </property>
  <property fmtid="{D5CDD505-2E9C-101B-9397-08002B2CF9AE}" pid="81" name="subfigureRefIndexTemplate">
    <vt:lpwstr>isuf (s)</vt:lpwstr>
  </property>
  <property fmtid="{D5CDD505-2E9C-101B-9397-08002B2CF9AE}" pid="82" name="subfigureTemplate">
    <vt:lpwstr>figureTitle ititleDelim t. ccs</vt:lpwstr>
  </property>
  <property fmtid="{D5CDD505-2E9C-101B-9397-08002B2CF9AE}" pid="83" name="subtitle">
    <vt:lpwstr>Номер 15</vt:lpwstr>
  </property>
  <property fmtid="{D5CDD505-2E9C-101B-9397-08002B2CF9AE}" pid="84" name="tableEqns">
    <vt:lpwstr>False</vt:lpwstr>
  </property>
  <property fmtid="{D5CDD505-2E9C-101B-9397-08002B2CF9AE}" pid="85" name="tableTemplate">
    <vt:lpwstr>tableTitle ititleDelim t</vt:lpwstr>
  </property>
  <property fmtid="{D5CDD505-2E9C-101B-9397-08002B2CF9AE}" pid="86" name="tableTitle">
    <vt:lpwstr>Таблица</vt:lpwstr>
  </property>
  <property fmtid="{D5CDD505-2E9C-101B-9397-08002B2CF9AE}" pid="87" name="tblLabels">
    <vt:lpwstr>arabic</vt:lpwstr>
  </property>
  <property fmtid="{D5CDD505-2E9C-101B-9397-08002B2CF9AE}" pid="88" name="tblPrefix">
    <vt:lpwstr/>
  </property>
  <property fmtid="{D5CDD505-2E9C-101B-9397-08002B2CF9AE}" pid="89" name="tblPrefixTemplate">
    <vt:lpwstr>p i</vt:lpwstr>
  </property>
  <property fmtid="{D5CDD505-2E9C-101B-9397-08002B2CF9AE}" pid="90" name="titleDelim">
    <vt:lpwstr>:</vt:lpwstr>
  </property>
  <property fmtid="{D5CDD505-2E9C-101B-9397-08002B2CF9AE}" pid="91" name="toc">
    <vt:lpwstr>True</vt:lpwstr>
  </property>
  <property fmtid="{D5CDD505-2E9C-101B-9397-08002B2CF9AE}" pid="92" name="toc-depth">
    <vt:lpwstr>2</vt:lpwstr>
  </property>
  <property fmtid="{D5CDD505-2E9C-101B-9397-08002B2CF9AE}" pid="93" name="toc-title">
    <vt:lpwstr>Содержание</vt:lpwstr>
  </property>
</Properties>
</file>