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настройка статической маршрутизации VLAN в сети.</w:t>
      </w:r>
    </w:p>
    <w:bookmarkEnd w:id="20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логической области проекта размещаем маршрутизатор Cisco 2811, подключаем его к порту 24 коммутатора msk-donskaya-sw-1 в соответствии с таблицей портов (Рис. 1.1).</w:t>
      </w:r>
    </w:p>
    <w:p>
      <w:pPr>
        <w:pStyle w:val="CaptionedFigure"/>
      </w:pPr>
      <w:r>
        <w:drawing>
          <wp:inline>
            <wp:extent cx="5334000" cy="3028266"/>
            <wp:effectExtent b="0" l="0" r="0" t="0"/>
            <wp:docPr descr="Подключение маршрутизатора Cisco 281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маршрутизатора Cisco 2811</w:t>
      </w:r>
    </w:p>
    <w:p>
      <w:pPr>
        <w:pStyle w:val="BodyText"/>
      </w:pPr>
      <w:r>
        <w:t xml:space="preserve">Используя приведённую последовательность команд по первоначальной настройке маршрутизатора, конфигурируем маршрутизатор, задав на нём имя, пароль для доступа к консоли, настраиваем удалённое подключение к нему по ssh (Рис. 1.2).</w:t>
      </w:r>
    </w:p>
    <w:p>
      <w:pPr>
        <w:pStyle w:val="CaptionedFigure"/>
      </w:pPr>
      <w:r>
        <w:drawing>
          <wp:inline>
            <wp:extent cx="4859748" cy="4623155"/>
            <wp:effectExtent b="0" l="0" r="0" t="0"/>
            <wp:docPr descr="Первичная конфигурация маршрутизатор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748" cy="462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Первичная конфигурация маршрутизатора</w:t>
      </w:r>
    </w:p>
    <w:p>
      <w:pPr>
        <w:pStyle w:val="BodyText"/>
      </w:pPr>
      <w:r>
        <w:t xml:space="preserve">Настраиваем порт 24 коммутатора msk-donskaya-sw-1 как trunk-порт (Рис. 1.3).</w:t>
      </w:r>
    </w:p>
    <w:p>
      <w:pPr>
        <w:pStyle w:val="CaptionedFigure"/>
      </w:pPr>
      <w:r>
        <w:drawing>
          <wp:inline>
            <wp:extent cx="3970925" cy="1713700"/>
            <wp:effectExtent b="0" l="0" r="0" t="0"/>
            <wp:docPr descr="Настройка Trunk-порта на коммутаторе msk-donskaya-dkkobzev-sw-1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25" cy="171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Trunk-порта на коммутаторе msk-donskaya-dkkobzev-sw-1</w:t>
      </w:r>
    </w:p>
    <w:p>
      <w:pPr>
        <w:pStyle w:val="BodyText"/>
      </w:pPr>
      <w:r>
        <w:t xml:space="preserve">На интерфейсе f0/0 маршрутизатора msk-donskaya-gw-1 настройте виртуальные интерфейсы, соответствующие номерам VLAN. Согласно таблице IP-адресов задаем соответствующие IP-адреса на виртуальных интерфейсах. Для этого используем приведённую последовательность команд по конфигурации VLAN-интерфейсов маршрутизатора (Рис. 1.4).</w:t>
      </w:r>
    </w:p>
    <w:p>
      <w:pPr>
        <w:pStyle w:val="CaptionedFigure"/>
      </w:pPr>
      <w:r>
        <w:drawing>
          <wp:inline>
            <wp:extent cx="5334000" cy="6356795"/>
            <wp:effectExtent b="0" l="0" r="0" t="0"/>
            <wp:docPr descr="Конфигурация VLAN-интерфейсов маршрутизатор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VLAN-интерфейсов маршрутизатора</w:t>
      </w:r>
    </w:p>
    <w:p>
      <w:pPr>
        <w:pStyle w:val="BodyText"/>
      </w:pPr>
      <w:r>
        <w:t xml:space="preserve">Проверяем доступность оконечных устройств из разных VLAN (Рис. 1.5).</w:t>
      </w:r>
    </w:p>
    <w:p>
      <w:pPr>
        <w:pStyle w:val="CaptionedFigure"/>
      </w:pPr>
      <w:r>
        <w:drawing>
          <wp:inline>
            <wp:extent cx="3804671" cy="2896665"/>
            <wp:effectExtent b="0" l="0" r="0" t="0"/>
            <wp:docPr descr="Проверка доступности оконечных устройств из разных VLAN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671" cy="2896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оконечных устройств из разных VLAN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была настроена статическая маршрутизации VLAN в сети.</w:t>
      </w:r>
    </w:p>
    <w:bookmarkEnd w:id="37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2026-03-21T08:33:25Z</dcterms:created>
  <dcterms:modified xsi:type="dcterms:W3CDTF">2026-03-21T08:33:25Z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6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