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8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настройке динамического распределения IP-адресов посредством протокола DHCP (Dynamic Host Configuration Protocol) в локальной сети.</w:t>
      </w:r>
    </w:p>
    <w:bookmarkEnd w:id="20"/>
    <w:bookmarkStart w:id="3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логическую рабочую область проекта добавляем сервер dns и подключаем его к коммутатору msk-donskaya-sw-3 через порт Fa0/2, не забыв активировать порт при помощи соответствующих команд на коммутаторе. В конфигурации сервера указываем в качестве адреса шлюза 10.128.0.1, а в качестве адреса самого сервера — 10.128.0.5 с соответствующей маской 255.255.255.0 (Рис. 1.1).</w:t>
      </w:r>
    </w:p>
    <w:p>
      <w:pPr>
        <w:pStyle w:val="CaptionedFigure"/>
      </w:pPr>
      <w:r>
        <w:drawing>
          <wp:inline>
            <wp:extent cx="5334000" cy="1907324"/>
            <wp:effectExtent b="0" l="0" r="0" t="0"/>
            <wp:docPr descr="Логическая схема локальной сети с добавленным DNS-сервером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7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Логическая схема локальной сети с добавленным DNS-сервером</w:t>
      </w:r>
    </w:p>
    <w:p>
      <w:pPr>
        <w:pStyle w:val="BodyText"/>
      </w:pPr>
      <w:r>
        <w:t xml:space="preserve">Настраиваем сервис DNS: (рис. 8.2):</w:t>
      </w:r>
      <w:r>
        <w:t xml:space="preserve"> </w:t>
      </w:r>
      <w:r>
        <w:t xml:space="preserve">– в конфигурации сервера выбираем службу DNS, активируйте ее;</w:t>
      </w:r>
      <w:r>
        <w:t xml:space="preserve"> </w:t>
      </w:r>
      <w:r>
        <w:t xml:space="preserve">– в поле Type в качестве типа записи DNS выбираем записи типа A;</w:t>
      </w:r>
      <w:r>
        <w:t xml:space="preserve"> </w:t>
      </w:r>
      <w:r>
        <w:t xml:space="preserve">– в поле Name указываем доменное имя, по которому можно обратиться, например, к web-серверу — www.donskaya.rudn.ru, затем указываем его IP-адрес в соответствующем поле 10.128.0.2;</w:t>
      </w:r>
      <w:r>
        <w:t xml:space="preserve"> </w:t>
      </w:r>
      <w:r>
        <w:t xml:space="preserve">– нажав на кнопку Add , добавляем DNS-запись на сервер;</w:t>
      </w:r>
      <w:r>
        <w:t xml:space="preserve"> </w:t>
      </w:r>
      <w:r>
        <w:t xml:space="preserve">– аналогичным образом добавляем DNS-записи для серверов mail, file, dns согласно распределению адресов (Рис. 1.2).</w:t>
      </w:r>
    </w:p>
    <w:p>
      <w:pPr>
        <w:pStyle w:val="CaptionedFigure"/>
      </w:pPr>
      <w:r>
        <w:drawing>
          <wp:inline>
            <wp:extent cx="5334000" cy="3179598"/>
            <wp:effectExtent b="0" l="0" r="0" t="0"/>
            <wp:docPr descr="Окно настройки сервиса DNS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настройки сервиса DNS</w:t>
      </w:r>
    </w:p>
    <w:p>
      <w:pPr>
        <w:pStyle w:val="BodyText"/>
      </w:pPr>
      <w:r>
        <w:t xml:space="preserve">Настраиваем DHCP-сервис на маршрутизаторе, используя приведённые команды для каждой выделенной сети: указываем IP-адрес DNS-сервера; затем переходим к настройке DHCP; задаем название конфигурируемому диапазону адресов (пулу адресов), указываем адрес сети, а также адреса шлюза и DNS-сервера; задаем пулы адресов, исключаемых из динамического распределени (Рис. 1.3).</w:t>
      </w:r>
    </w:p>
    <w:p>
      <w:pPr>
        <w:pStyle w:val="CaptionedFigure"/>
      </w:pPr>
      <w:r>
        <w:drawing>
          <wp:inline>
            <wp:extent cx="5334000" cy="4892608"/>
            <wp:effectExtent b="0" l="0" r="0" t="0"/>
            <wp:docPr descr="Настройка DHCP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2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DHCP</w:t>
      </w:r>
    </w:p>
    <w:p>
      <w:pPr>
        <w:pStyle w:val="CaptionedFigure"/>
      </w:pPr>
      <w:r>
        <w:drawing>
          <wp:inline>
            <wp:extent cx="5217834" cy="6311278"/>
            <wp:effectExtent b="0" l="0" r="0" t="0"/>
            <wp:docPr descr="Информация о пулах DHCP и информация об привязках выданных адресов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834" cy="6311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пулах DHCP и информация об привязках выданных адресов</w:t>
      </w:r>
    </w:p>
    <w:p>
      <w:pPr>
        <w:pStyle w:val="BodyText"/>
      </w:pPr>
      <w:r>
        <w:t xml:space="preserve">На оконечных устройствах заменяем в настройках статическое распределение адресов на динамическое (Рис. 1.5).</w:t>
      </w:r>
    </w:p>
    <w:p>
      <w:pPr>
        <w:pStyle w:val="CaptionedFigure"/>
      </w:pPr>
      <w:r>
        <w:drawing>
          <wp:inline>
            <wp:extent cx="5334000" cy="2292506"/>
            <wp:effectExtent b="0" l="0" r="0" t="0"/>
            <wp:docPr descr="Замена распределения адресов на оконечных устройствах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2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распределения адресов на оконечных устройствах</w:t>
      </w:r>
    </w:p>
    <w:p>
      <w:pPr>
        <w:pStyle w:val="BodyText"/>
      </w:pPr>
      <w:r>
        <w:t xml:space="preserve">Проверяем, какие адреса выделяются оконечным устройствам, а также доступность устройств из разных подсетей (Рис. 1.6).</w:t>
      </w:r>
    </w:p>
    <w:p>
      <w:pPr>
        <w:pStyle w:val="CaptionedFigure"/>
      </w:pPr>
      <w:r>
        <w:drawing>
          <wp:inline>
            <wp:extent cx="5334000" cy="3645984"/>
            <wp:effectExtent b="0" l="0" r="0" t="0"/>
            <wp:docPr descr="Проверка адресов на оконечных устройствах и доступность устройств из разных подсетей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5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адресов на оконечных устройствах и доступность устройств из разных подсетей</w:t>
      </w:r>
    </w:p>
    <w:bookmarkEnd w:id="39"/>
    <w:bookmarkStart w:id="4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были приобретены практические навыки по настройке динамического распределения IP-адресов посредством протокола DHCP (Dynamic Host Configuration Protocol) в локальной сети.</w:t>
      </w:r>
    </w:p>
    <w:bookmarkEnd w:id="40"/>
    <w:bookmarkStart w:id="41" w:name="список-литературы"/>
    <w:p>
      <w:pPr>
        <w:pStyle w:val="Heading1"/>
      </w:pPr>
      <w:r>
        <w:t xml:space="preserve">Список литературы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2026-04-04T10:00:39Z</dcterms:created>
  <dcterms:modified xsi:type="dcterms:W3CDTF">2026-04-04T10:00:39Z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onofont">
    <vt:lpwstr>Liberation Mono</vt:lpwstr>
  </property>
  <property fmtid="{D5CDD505-2E9C-101B-9397-08002B2CF9AE}" pid="58" name="monofontoptions">
    <vt:lpwstr>Scale=MatchLowercase,Scale=0.94,FakeStretch=0.9</vt:lpwstr>
  </property>
  <property fmtid="{D5CDD505-2E9C-101B-9397-08002B2CF9AE}" pid="59" name="nameInLink">
    <vt:lpwstr>False</vt:lpwstr>
  </property>
  <property fmtid="{D5CDD505-2E9C-101B-9397-08002B2CF9AE}" pid="60" name="numberSections">
    <vt:lpwstr>False</vt:lpwstr>
  </property>
  <property fmtid="{D5CDD505-2E9C-101B-9397-08002B2CF9AE}" pid="61" name="pairDelim">
    <vt:lpwstr>, </vt:lpwstr>
  </property>
  <property fmtid="{D5CDD505-2E9C-101B-9397-08002B2CF9AE}" pid="62" name="papersize">
    <vt:lpwstr>a4</vt:lpwstr>
  </property>
  <property fmtid="{D5CDD505-2E9C-101B-9397-08002B2CF9AE}" pid="63" name="polyglossia-lang">
    <vt:lpwstr/>
  </property>
  <property fmtid="{D5CDD505-2E9C-101B-9397-08002B2CF9AE}" pid="64" name="polyglossia-otherlangs">
    <vt:lpwstr/>
  </property>
  <property fmtid="{D5CDD505-2E9C-101B-9397-08002B2CF9AE}" pid="65" name="rangeDelim">
    <vt:lpwstr>-</vt:lpwstr>
  </property>
  <property fmtid="{D5CDD505-2E9C-101B-9397-08002B2CF9AE}" pid="66" name="refDelim">
    <vt:lpwstr>, </vt:lpwstr>
  </property>
  <property fmtid="{D5CDD505-2E9C-101B-9397-08002B2CF9AE}" pid="67" name="refIndexTemplate">
    <vt:lpwstr>isuf</vt:lpwstr>
  </property>
  <property fmtid="{D5CDD505-2E9C-101B-9397-08002B2CF9AE}" pid="68" name="romanfont">
    <vt:lpwstr>Liberation Serif</vt:lpwstr>
  </property>
  <property fmtid="{D5CDD505-2E9C-101B-9397-08002B2CF9AE}" pid="69" name="romanfontoptions">
    <vt:lpwstr>Ligatures=Common,Ligatures=TeX,Scale=0.94</vt:lpwstr>
  </property>
  <property fmtid="{D5CDD505-2E9C-101B-9397-08002B2CF9AE}" pid="70" name="sansfont">
    <vt:lpwstr>Liberation Sans</vt:lpwstr>
  </property>
  <property fmtid="{D5CDD505-2E9C-101B-9397-08002B2CF9AE}" pid="71" name="sansfontoptions">
    <vt:lpwstr>Ligatures=Common,Ligatures=TeX,Scale=MatchLowercase,Scale=0.94</vt:lpwstr>
  </property>
  <property fmtid="{D5CDD505-2E9C-101B-9397-08002B2CF9AE}" pid="72" name="secHeaderDelim">
    <vt:lpwstr> </vt:lpwstr>
  </property>
  <property fmtid="{D5CDD505-2E9C-101B-9397-08002B2CF9AE}" pid="73" name="secHeaderTemplate">
    <vt:lpwstr>isecHeaderDelim[n]t</vt:lpwstr>
  </property>
  <property fmtid="{D5CDD505-2E9C-101B-9397-08002B2CF9AE}" pid="74" name="secLabels">
    <vt:lpwstr>arabic</vt:lpwstr>
  </property>
  <property fmtid="{D5CDD505-2E9C-101B-9397-08002B2CF9AE}" pid="75" name="secPrefix">
    <vt:lpwstr/>
  </property>
  <property fmtid="{D5CDD505-2E9C-101B-9397-08002B2CF9AE}" pid="76" name="secPrefixTemplate">
    <vt:lpwstr>p i</vt:lpwstr>
  </property>
  <property fmtid="{D5CDD505-2E9C-101B-9397-08002B2CF9AE}" pid="77" name="sectionsDepth">
    <vt:lpwstr>0</vt:lpwstr>
  </property>
  <property fmtid="{D5CDD505-2E9C-101B-9397-08002B2CF9AE}" pid="78" name="subfigGrid">
    <vt:lpwstr>False</vt:lpwstr>
  </property>
  <property fmtid="{D5CDD505-2E9C-101B-9397-08002B2CF9AE}" pid="79" name="subfigLabels">
    <vt:lpwstr>alpha a</vt:lpwstr>
  </property>
  <property fmtid="{D5CDD505-2E9C-101B-9397-08002B2CF9AE}" pid="80" name="subfigureChildTemplate">
    <vt:lpwstr>i</vt:lpwstr>
  </property>
  <property fmtid="{D5CDD505-2E9C-101B-9397-08002B2CF9AE}" pid="81" name="subfigureRefIndexTemplate">
    <vt:lpwstr>isuf (s)</vt:lpwstr>
  </property>
  <property fmtid="{D5CDD505-2E9C-101B-9397-08002B2CF9AE}" pid="82" name="subfigureTemplate">
    <vt:lpwstr>figureTitle ititleDelim t. ccs</vt:lpwstr>
  </property>
  <property fmtid="{D5CDD505-2E9C-101B-9397-08002B2CF9AE}" pid="83" name="subtitle">
    <vt:lpwstr>Номер 8</vt:lpwstr>
  </property>
  <property fmtid="{D5CDD505-2E9C-101B-9397-08002B2CF9AE}" pid="84" name="tableEqns">
    <vt:lpwstr>False</vt:lpwstr>
  </property>
  <property fmtid="{D5CDD505-2E9C-101B-9397-08002B2CF9AE}" pid="85" name="tableTemplate">
    <vt:lpwstr>tableTitle ititleDelim t</vt:lpwstr>
  </property>
  <property fmtid="{D5CDD505-2E9C-101B-9397-08002B2CF9AE}" pid="86" name="tableTitle">
    <vt:lpwstr>Таблица</vt:lpwstr>
  </property>
  <property fmtid="{D5CDD505-2E9C-101B-9397-08002B2CF9AE}" pid="87" name="tblLabels">
    <vt:lpwstr>arabic</vt:lpwstr>
  </property>
  <property fmtid="{D5CDD505-2E9C-101B-9397-08002B2CF9AE}" pid="88" name="tblPrefix">
    <vt:lpwstr/>
  </property>
  <property fmtid="{D5CDD505-2E9C-101B-9397-08002B2CF9AE}" pid="89" name="tblPrefixTemplate">
    <vt:lpwstr>p i</vt:lpwstr>
  </property>
  <property fmtid="{D5CDD505-2E9C-101B-9397-08002B2CF9AE}" pid="90" name="titleDelim">
    <vt:lpwstr>:</vt:lpwstr>
  </property>
  <property fmtid="{D5CDD505-2E9C-101B-9397-08002B2CF9AE}" pid="91" name="toc">
    <vt:lpwstr>True</vt:lpwstr>
  </property>
  <property fmtid="{D5CDD505-2E9C-101B-9397-08002B2CF9AE}" pid="92" name="toc-depth">
    <vt:lpwstr>2</vt:lpwstr>
  </property>
  <property fmtid="{D5CDD505-2E9C-101B-9397-08002B2CF9AE}" pid="93" name="toc-title">
    <vt:lpwstr>Содержание</vt:lpwstr>
  </property>
</Properties>
</file>