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24.png" ContentType="image/png"/>
  <Override PartName="/word/media/rId48.png" ContentType="image/png"/>
  <Override PartName="/word/media/rId51.png" ContentType="image/png"/>
  <Override PartName="/word/media/rId27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30.png" ContentType="image/png"/>
  <Override PartName="/word/media/rId63.png" ContentType="image/png"/>
  <Override PartName="/word/media/rId66.png" ContentType="image/png"/>
  <Override PartName="/word/media/rId33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14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настройка взаимодействия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Настраиваем интерфейсы коммутатора provider-sw-1 (Рис. 1.1).</w:t>
      </w:r>
    </w:p>
    <w:p>
      <w:pPr>
        <w:pStyle w:val="CaptionedFigure"/>
      </w:pPr>
      <w:r>
        <w:drawing>
          <wp:inline>
            <wp:extent cx="4808593" cy="3900587"/>
            <wp:effectExtent b="0" l="0" r="0" t="0"/>
            <wp:docPr descr="Настройка интерфейсов коммутатора provider-s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593" cy="390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provider-sw-1</w:t>
      </w:r>
    </w:p>
    <w:p>
      <w:pPr>
        <w:pStyle w:val="BodyText"/>
      </w:pPr>
      <w:r>
        <w:t xml:space="preserve">Настраиваем интерфейсы коммутатора msk-donskaya-gw-1 (Рис. 1.2).</w:t>
      </w:r>
    </w:p>
    <w:p>
      <w:pPr>
        <w:pStyle w:val="CaptionedFigure"/>
      </w:pPr>
      <w:r>
        <w:drawing>
          <wp:inline>
            <wp:extent cx="5334000" cy="2888491"/>
            <wp:effectExtent b="0" l="0" r="0" t="0"/>
            <wp:docPr descr="Настройка интерфейсов маршрутизатора msk-donskaya-g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msk-donskaya-gw-1</w:t>
      </w:r>
    </w:p>
    <w:p>
      <w:pPr>
        <w:pStyle w:val="BodyText"/>
      </w:pPr>
      <w:r>
        <w:t xml:space="preserve">Настраиваем интерфейсы маршрутизатора msk-q42-gw-1 (Рис. 1.3).</w:t>
      </w:r>
    </w:p>
    <w:p>
      <w:pPr>
        <w:pStyle w:val="CaptionedFigure"/>
      </w:pPr>
      <w:r>
        <w:drawing>
          <wp:inline>
            <wp:extent cx="5334000" cy="3785219"/>
            <wp:effectExtent b="0" l="0" r="0" t="0"/>
            <wp:docPr descr="Настройка интерфейсов маршрутизатора msk-q42-gw-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5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msk-q42-gw-1</w:t>
      </w:r>
    </w:p>
    <w:p>
      <w:pPr>
        <w:pStyle w:val="BodyText"/>
      </w:pPr>
      <w:r>
        <w:t xml:space="preserve">Настраиваем интерфейсы коммутатора sch-sochi-sw-1 (Рис. 1.4)</w:t>
      </w:r>
    </w:p>
    <w:p>
      <w:pPr>
        <w:pStyle w:val="CaptionedFigure"/>
      </w:pPr>
      <w:r>
        <w:drawing>
          <wp:inline>
            <wp:extent cx="5334000" cy="3127663"/>
            <wp:effectExtent b="0" l="0" r="0" t="0"/>
            <wp:docPr descr="Настройка интерфейсов коммутатора sch-sochi-sw-1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sch-sochi-sw-1</w:t>
      </w:r>
    </w:p>
    <w:p>
      <w:pPr>
        <w:pStyle w:val="BodyText"/>
      </w:pPr>
      <w:r>
        <w:t xml:space="preserve">Настраиваем интерфейсы маршрутизатора sch-sochi-gw-1 (Рис. 1.5).</w:t>
      </w:r>
    </w:p>
    <w:p>
      <w:pPr>
        <w:pStyle w:val="CaptionedFigure"/>
      </w:pPr>
      <w:r>
        <w:drawing>
          <wp:inline>
            <wp:extent cx="5334000" cy="2814483"/>
            <wp:effectExtent b="0" l="0" r="0" t="0"/>
            <wp:docPr descr="Настройка интерфейсов маршрутизатора sch-sochi-g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sch-sochi-gw-1</w:t>
      </w:r>
    </w:p>
    <w:p>
      <w:pPr>
        <w:pStyle w:val="BodyText"/>
      </w:pPr>
      <w:r>
        <w:t xml:space="preserve">Настраиваем интерфейсы маршрутизатора msk-q42-gw-1 (Рис. 1.6).</w:t>
      </w:r>
    </w:p>
    <w:p>
      <w:pPr>
        <w:pStyle w:val="CaptionedFigure"/>
      </w:pPr>
      <w:r>
        <w:drawing>
          <wp:inline>
            <wp:extent cx="5334000" cy="4555750"/>
            <wp:effectExtent b="0" l="0" r="0" t="0"/>
            <wp:docPr descr="Настройка интерфейсов маршрутизатора msk-q42-gw-1" title="" id="37" name="Picture"/>
            <a:graphic>
              <a:graphicData uri="http://schemas.openxmlformats.org/drawingml/2006/picture">
                <pic:pic>
                  <pic:nvPicPr>
                    <pic:cNvPr descr="image/2.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msk-q42-gw-1</w:t>
      </w:r>
    </w:p>
    <w:p>
      <w:pPr>
        <w:pStyle w:val="BodyText"/>
      </w:pPr>
      <w:r>
        <w:t xml:space="preserve">Настраиваем интерфейсы коммутатора msk-q42-sw-1 (Рис. 1.7).</w:t>
      </w:r>
    </w:p>
    <w:p>
      <w:pPr>
        <w:pStyle w:val="CaptionedFigure"/>
      </w:pPr>
      <w:r>
        <w:drawing>
          <wp:inline>
            <wp:extent cx="5334000" cy="3370118"/>
            <wp:effectExtent b="0" l="0" r="0" t="0"/>
            <wp:docPr descr="Настройка интерфейсов коммутатора msk-q42-sw-1" title="" id="40" name="Picture"/>
            <a:graphic>
              <a:graphicData uri="http://schemas.openxmlformats.org/drawingml/2006/picture">
                <pic:pic>
                  <pic:nvPicPr>
                    <pic:cNvPr descr="image/2.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msk-q42-sw-1</w:t>
      </w:r>
    </w:p>
    <w:p>
      <w:pPr>
        <w:pStyle w:val="BodyText"/>
      </w:pPr>
      <w:r>
        <w:t xml:space="preserve">Настраиваем интерфейсы маршрутизирующего коммутатора msk-hostel-gw-1 (Рис. 1.8).</w:t>
      </w:r>
    </w:p>
    <w:p>
      <w:pPr>
        <w:pStyle w:val="CaptionedFigure"/>
      </w:pPr>
      <w:r>
        <w:drawing>
          <wp:inline>
            <wp:extent cx="5334000" cy="5381255"/>
            <wp:effectExtent b="0" l="0" r="0" t="0"/>
            <wp:docPr descr="Настройка интерфейсов маршрутизирующего коммутатора msk-hostel-gw-1" title="" id="43" name="Picture"/>
            <a:graphic>
              <a:graphicData uri="http://schemas.openxmlformats.org/drawingml/2006/picture">
                <pic:pic>
                  <pic:nvPicPr>
                    <pic:cNvPr descr="image/2.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маршрутизирующего коммутатора msk-hostel-gw-1</w:t>
      </w:r>
    </w:p>
    <w:p>
      <w:pPr>
        <w:pStyle w:val="BodyText"/>
      </w:pPr>
      <w:r>
        <w:t xml:space="preserve">Настраиваем интерфейсы коммутатора msk-hostel-sw-1 (Рис. 1.9).</w:t>
      </w:r>
    </w:p>
    <w:p>
      <w:pPr>
        <w:pStyle w:val="CaptionedFigure"/>
      </w:pPr>
      <w:r>
        <w:drawing>
          <wp:inline>
            <wp:extent cx="4917297" cy="2826327"/>
            <wp:effectExtent b="0" l="0" r="0" t="0"/>
            <wp:docPr descr="Настройка интерфейсов коммутатора msk-hostel-sw-1" title="" id="46" name="Picture"/>
            <a:graphic>
              <a:graphicData uri="http://schemas.openxmlformats.org/drawingml/2006/picture">
                <pic:pic>
                  <pic:nvPicPr>
                    <pic:cNvPr descr="image/2.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297" cy="282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msk-hostel-sw-1</w:t>
      </w:r>
    </w:p>
    <w:p>
      <w:pPr>
        <w:pStyle w:val="BodyText"/>
      </w:pPr>
      <w:r>
        <w:t xml:space="preserve">Настраиваем интерфейсы маршрутизатора sch-sochi-gw-1 (Рис. 1.10).</w:t>
      </w:r>
    </w:p>
    <w:p>
      <w:pPr>
        <w:pStyle w:val="CaptionedFigure"/>
      </w:pPr>
      <w:r>
        <w:drawing>
          <wp:inline>
            <wp:extent cx="5334000" cy="2503106"/>
            <wp:effectExtent b="0" l="0" r="0" t="0"/>
            <wp:docPr descr="Настройка интерфейсов маршрутизатора sch-sochi-gw-1" title="" id="49" name="Picture"/>
            <a:graphic>
              <a:graphicData uri="http://schemas.openxmlformats.org/drawingml/2006/picture">
                <pic:pic>
                  <pic:nvPicPr>
                    <pic:cNvPr descr="image/3.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sch-sochi-gw-1</w:t>
      </w:r>
    </w:p>
    <w:p>
      <w:pPr>
        <w:pStyle w:val="BodyText"/>
      </w:pPr>
      <w:r>
        <w:t xml:space="preserve">Настраиваем интерфейсы коммутатора sch-sochi-sw-1 (Рис. 1.11).</w:t>
      </w:r>
    </w:p>
    <w:p>
      <w:pPr>
        <w:pStyle w:val="CaptionedFigure"/>
      </w:pPr>
      <w:r>
        <w:drawing>
          <wp:inline>
            <wp:extent cx="4936481" cy="2436268"/>
            <wp:effectExtent b="0" l="0" r="0" t="0"/>
            <wp:docPr descr="Настройка интерфейсов коммутатора sch-sochi-sw-1" title="" id="52" name="Picture"/>
            <a:graphic>
              <a:graphicData uri="http://schemas.openxmlformats.org/drawingml/2006/picture">
                <pic:pic>
                  <pic:nvPicPr>
                    <pic:cNvPr descr="image/3.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243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sch-sochi-sw-1</w:t>
      </w:r>
    </w:p>
    <w:p>
      <w:pPr>
        <w:pStyle w:val="BodyText"/>
      </w:pPr>
      <w:r>
        <w:t xml:space="preserve">Настраиваем маршрутизатор msk-donskaya-gw-1 (Рис. 1.12).</w:t>
      </w:r>
    </w:p>
    <w:p>
      <w:pPr>
        <w:pStyle w:val="CaptionedFigure"/>
      </w:pPr>
      <w:r>
        <w:drawing>
          <wp:inline>
            <wp:extent cx="5185862" cy="760934"/>
            <wp:effectExtent b="0" l="0" r="0" t="0"/>
            <wp:docPr descr="Настройка маршрутизатора msk-donskaya-gw-1" title="" id="55" name="Picture"/>
            <a:graphic>
              <a:graphicData uri="http://schemas.openxmlformats.org/drawingml/2006/picture">
                <pic:pic>
                  <pic:nvPicPr>
                    <pic:cNvPr descr="image/4.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862" cy="7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msk-donskaya-gw-1</w:t>
      </w:r>
    </w:p>
    <w:p>
      <w:pPr>
        <w:pStyle w:val="BodyText"/>
      </w:pPr>
      <w:r>
        <w:t xml:space="preserve">Настраиваем маршрутизатор msk-q42-gw-1 (Рис. 1.13)</w:t>
      </w:r>
    </w:p>
    <w:p>
      <w:pPr>
        <w:pStyle w:val="CaptionedFigure"/>
      </w:pPr>
      <w:r>
        <w:drawing>
          <wp:inline>
            <wp:extent cx="4386562" cy="645834"/>
            <wp:effectExtent b="0" l="0" r="0" t="0"/>
            <wp:docPr descr="Настройка маршрутизатора msk-q42-gw-1" title="" id="58" name="Picture"/>
            <a:graphic>
              <a:graphicData uri="http://schemas.openxmlformats.org/drawingml/2006/picture">
                <pic:pic>
                  <pic:nvPicPr>
                    <pic:cNvPr descr="image/4.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62" cy="645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p>
      <w:pPr>
        <w:pStyle w:val="BodyText"/>
      </w:pPr>
      <w:r>
        <w:t xml:space="preserve">Настраиваем маршрутизатор sch-sochi-gw-1 (Рис. 1.14).</w:t>
      </w:r>
    </w:p>
    <w:p>
      <w:pPr>
        <w:pStyle w:val="CaptionedFigure"/>
      </w:pPr>
      <w:r>
        <w:drawing>
          <wp:inline>
            <wp:extent cx="4495267" cy="383664"/>
            <wp:effectExtent b="0" l="0" r="0" t="0"/>
            <wp:docPr descr="Настройка маршрутизатора sch-sochi-gw-1" title="" id="61" name="Picture"/>
            <a:graphic>
              <a:graphicData uri="http://schemas.openxmlformats.org/drawingml/2006/picture">
                <pic:pic>
                  <pic:nvPicPr>
                    <pic:cNvPr descr="image/4.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267" cy="38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sch-sochi-gw-1</w:t>
      </w:r>
    </w:p>
    <w:p>
      <w:pPr>
        <w:pStyle w:val="BodyText"/>
      </w:pPr>
      <w:r>
        <w:t xml:space="preserve">Настраиваем маршрутизатор msk-q42-gw-1 (Рис. 1.15).</w:t>
      </w:r>
    </w:p>
    <w:p>
      <w:pPr>
        <w:pStyle w:val="CaptionedFigure"/>
      </w:pPr>
      <w:r>
        <w:drawing>
          <wp:inline>
            <wp:extent cx="4974847" cy="409241"/>
            <wp:effectExtent b="0" l="0" r="0" t="0"/>
            <wp:docPr descr="Настройка маршрутизатора msk-q42-gw-1" title="" id="64" name="Picture"/>
            <a:graphic>
              <a:graphicData uri="http://schemas.openxmlformats.org/drawingml/2006/picture">
                <pic:pic>
                  <pic:nvPicPr>
                    <pic:cNvPr descr="image/5.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47" cy="40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p>
      <w:pPr>
        <w:pStyle w:val="BodyText"/>
      </w:pPr>
      <w:r>
        <w:t xml:space="preserve">Настраиваем интерфейсы маршрутизирующего коммутатора msk-hostel-gw-1 (Рис. 1.16).</w:t>
      </w:r>
    </w:p>
    <w:p>
      <w:pPr>
        <w:pStyle w:val="CaptionedFigure"/>
      </w:pPr>
      <w:r>
        <w:drawing>
          <wp:inline>
            <wp:extent cx="4559211" cy="543524"/>
            <wp:effectExtent b="0" l="0" r="0" t="0"/>
            <wp:docPr descr="Настройка интерфейсов маршрутизирующего коммутатора msk-hostel-gw-1" title="" id="67" name="Picture"/>
            <a:graphic>
              <a:graphicData uri="http://schemas.openxmlformats.org/drawingml/2006/picture">
                <pic:pic>
                  <pic:nvPicPr>
                    <pic:cNvPr descr="image/5.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211" cy="54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маршрутизирующего коммутатора msk-hostel-gw-1</w:t>
      </w:r>
    </w:p>
    <w:p>
      <w:pPr>
        <w:pStyle w:val="BodyText"/>
      </w:pPr>
      <w:r>
        <w:t xml:space="preserve">Настраиваем NAT на маршрутизаторе msk-donskaya-gw-1 (Рис. 1.17).</w:t>
      </w:r>
    </w:p>
    <w:p>
      <w:pPr>
        <w:pStyle w:val="CaptionedFigure"/>
      </w:pPr>
      <w:r>
        <w:drawing>
          <wp:inline>
            <wp:extent cx="5000425" cy="1835194"/>
            <wp:effectExtent b="0" l="0" r="0" t="0"/>
            <wp:docPr descr="Настройка NAT на маршрутизаторе msk-donskaya-gw-1" title="" id="70" name="Picture"/>
            <a:graphic>
              <a:graphicData uri="http://schemas.openxmlformats.org/drawingml/2006/picture">
                <pic:pic>
                  <pic:nvPicPr>
                    <pic:cNvPr descr="image/6.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25" cy="183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NAT на маршрутизаторе msk-donskaya-gw-1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было настроено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73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4" Target="media/rId2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7" Target="media/rId27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30" Target="media/rId3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33" Target="media/rId33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2026-05-16T12:43:52Z</dcterms:created>
  <dcterms:modified xsi:type="dcterms:W3CDTF">2026-05-16T12:43:52Z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14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