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12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настройке доступа локальной сети к внешней сети посредством NAT.</w:t>
      </w:r>
    </w:p>
    <w:bookmarkEnd w:id="20"/>
    <w:bookmarkStart w:id="4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Выполняем первоначальную настройку маршрутизатора provider-gw-1 (Рис. 1.1).</w:t>
      </w:r>
    </w:p>
    <w:p>
      <w:pPr>
        <w:pStyle w:val="CaptionedFigure"/>
      </w:pPr>
      <w:r>
        <w:drawing>
          <wp:inline>
            <wp:extent cx="3964531" cy="1822405"/>
            <wp:effectExtent b="0" l="0" r="0" t="0"/>
            <wp:docPr descr="Первоначальная настройка маршрутизатора provider-gw-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531" cy="1822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маршрутизатора provider-gw-1</w:t>
      </w:r>
    </w:p>
    <w:p>
      <w:pPr>
        <w:pStyle w:val="BodyText"/>
      </w:pPr>
      <w:r>
        <w:t xml:space="preserve">Выполняем первоначальную настройку коммутатора provider-sw-1 (Рис. 1.2).</w:t>
      </w:r>
    </w:p>
    <w:p>
      <w:pPr>
        <w:pStyle w:val="CaptionedFigure"/>
      </w:pPr>
      <w:r>
        <w:drawing>
          <wp:inline>
            <wp:extent cx="4022081" cy="2314774"/>
            <wp:effectExtent b="0" l="0" r="0" t="0"/>
            <wp:docPr descr="Первоначальная настройка коммутатора provider-sw-1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081" cy="2314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коммутатора provider-sw-1</w:t>
      </w:r>
    </w:p>
    <w:p>
      <w:pPr>
        <w:pStyle w:val="BodyText"/>
      </w:pPr>
      <w:r>
        <w:t xml:space="preserve">Настраиваем интерфейсы маршрутизатора provider-gw-1 (Рис. 1.3).</w:t>
      </w:r>
    </w:p>
    <w:p>
      <w:pPr>
        <w:pStyle w:val="CaptionedFigure"/>
      </w:pPr>
      <w:r>
        <w:drawing>
          <wp:inline>
            <wp:extent cx="5334000" cy="3657949"/>
            <wp:effectExtent b="0" l="0" r="0" t="0"/>
            <wp:docPr descr="Настройка интерфейсов маршрутизатора provider-gw-1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7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маршрутизатора provider-gw-1</w:t>
      </w:r>
    </w:p>
    <w:p>
      <w:pPr>
        <w:pStyle w:val="BodyText"/>
      </w:pPr>
      <w:r>
        <w:t xml:space="preserve">Настраиваем интерфейсы коммутатора provider-sw-1 (Рис. 1.4)</w:t>
      </w:r>
    </w:p>
    <w:p>
      <w:pPr>
        <w:pStyle w:val="CaptionedFigure"/>
      </w:pPr>
      <w:r>
        <w:drawing>
          <wp:inline>
            <wp:extent cx="5334000" cy="3602417"/>
            <wp:effectExtent b="0" l="0" r="0" t="0"/>
            <wp:docPr descr="Настройка интерфейсов коммутатора provider-sw-1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2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коммутатора provider-sw-1</w:t>
      </w:r>
    </w:p>
    <w:p>
      <w:pPr>
        <w:pStyle w:val="BodyText"/>
      </w:pPr>
      <w:r>
        <w:t xml:space="preserve">Настраиваем интерфейсы маршрутизатора msk-donskaya-gw-1 (Рис. 1.5).</w:t>
      </w:r>
    </w:p>
    <w:p>
      <w:pPr>
        <w:pStyle w:val="CaptionedFigure"/>
      </w:pPr>
      <w:r>
        <w:drawing>
          <wp:inline>
            <wp:extent cx="5334000" cy="2960614"/>
            <wp:effectExtent b="0" l="0" r="0" t="0"/>
            <wp:docPr descr="Настройка интерфейсов маршрутизатора msk-donskaya-gw-1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0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маршрутизатора msk-donskaya-gw-1</w:t>
      </w:r>
    </w:p>
    <w:p>
      <w:pPr>
        <w:pStyle w:val="BodyText"/>
      </w:pPr>
      <w:r>
        <w:t xml:space="preserve">Настраиваем пул адресов и список доступа для NAT (Рис. 1.6).</w:t>
      </w:r>
    </w:p>
    <w:p>
      <w:pPr>
        <w:pStyle w:val="CaptionedFigure"/>
      </w:pPr>
      <w:r>
        <w:drawing>
          <wp:inline>
            <wp:extent cx="5334000" cy="2454088"/>
            <wp:effectExtent b="0" l="0" r="0" t="0"/>
            <wp:docPr descr="Настройка пула адресов и списка доступа для NAT" title="" id="37" name="Picture"/>
            <a:graphic>
              <a:graphicData uri="http://schemas.openxmlformats.org/drawingml/2006/picture">
                <pic:pic>
                  <pic:nvPicPr>
                    <pic:cNvPr descr="image/6-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пула адресов и списка доступа для NAT</w:t>
      </w:r>
    </w:p>
    <w:p>
      <w:pPr>
        <w:pStyle w:val="BodyText"/>
      </w:pPr>
      <w:r>
        <w:t xml:space="preserve">Настраиваем Port Address Translation и интерфейсы для NAT (Рис. 1.8).</w:t>
      </w:r>
    </w:p>
    <w:p>
      <w:pPr>
        <w:pStyle w:val="CaptionedFigure"/>
      </w:pPr>
      <w:r>
        <w:drawing>
          <wp:inline>
            <wp:extent cx="5334000" cy="5136000"/>
            <wp:effectExtent b="0" l="0" r="0" t="0"/>
            <wp:docPr descr="Настройка NAT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NAT</w:t>
      </w:r>
    </w:p>
    <w:p>
      <w:pPr>
        <w:pStyle w:val="BodyText"/>
      </w:pPr>
      <w:r>
        <w:t xml:space="preserve">Настраиваем доступ из Интернета для веб, файлового и почтового серверов и доступ по RDP (Рис. 1.9).</w:t>
      </w:r>
    </w:p>
    <w:p>
      <w:pPr>
        <w:pStyle w:val="CaptionedFigure"/>
      </w:pPr>
      <w:r>
        <w:drawing>
          <wp:inline>
            <wp:extent cx="5334000" cy="823907"/>
            <wp:effectExtent b="0" l="0" r="0" t="0"/>
            <wp:docPr descr="Настройка доступа из Интернета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3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из Интернета</w:t>
      </w:r>
    </w:p>
    <w:bookmarkEnd w:id="45"/>
    <w:bookmarkStart w:id="4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были приобретены практические навыки по настройке доступа локальной сети к внешней сети посредством NAT.</w:t>
      </w:r>
    </w:p>
    <w:bookmarkEnd w:id="46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2026-05-02T10:57:17Z</dcterms:created>
  <dcterms:modified xsi:type="dcterms:W3CDTF">2026-05-02T10:57:17Z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onofont">
    <vt:lpwstr>Liberation Mono</vt:lpwstr>
  </property>
  <property fmtid="{D5CDD505-2E9C-101B-9397-08002B2CF9AE}" pid="58" name="monofontoptions">
    <vt:lpwstr>Scale=MatchLowercase,Scale=0.94,FakeStretch=0.9</vt:lpwstr>
  </property>
  <property fmtid="{D5CDD505-2E9C-101B-9397-08002B2CF9AE}" pid="59" name="nameInLink">
    <vt:lpwstr>False</vt:lpwstr>
  </property>
  <property fmtid="{D5CDD505-2E9C-101B-9397-08002B2CF9AE}" pid="60" name="numberSections">
    <vt:lpwstr>False</vt:lpwstr>
  </property>
  <property fmtid="{D5CDD505-2E9C-101B-9397-08002B2CF9AE}" pid="61" name="pairDelim">
    <vt:lpwstr>, </vt:lpwstr>
  </property>
  <property fmtid="{D5CDD505-2E9C-101B-9397-08002B2CF9AE}" pid="62" name="papersize">
    <vt:lpwstr>a4</vt:lpwstr>
  </property>
  <property fmtid="{D5CDD505-2E9C-101B-9397-08002B2CF9AE}" pid="63" name="polyglossia-lang">
    <vt:lpwstr/>
  </property>
  <property fmtid="{D5CDD505-2E9C-101B-9397-08002B2CF9AE}" pid="64" name="polyglossia-otherlangs">
    <vt:lpwstr/>
  </property>
  <property fmtid="{D5CDD505-2E9C-101B-9397-08002B2CF9AE}" pid="65" name="rangeDelim">
    <vt:lpwstr>-</vt:lpwstr>
  </property>
  <property fmtid="{D5CDD505-2E9C-101B-9397-08002B2CF9AE}" pid="66" name="refDelim">
    <vt:lpwstr>, </vt:lpwstr>
  </property>
  <property fmtid="{D5CDD505-2E9C-101B-9397-08002B2CF9AE}" pid="67" name="refIndexTemplate">
    <vt:lpwstr>isuf</vt:lpwstr>
  </property>
  <property fmtid="{D5CDD505-2E9C-101B-9397-08002B2CF9AE}" pid="68" name="romanfont">
    <vt:lpwstr>Liberation Serif</vt:lpwstr>
  </property>
  <property fmtid="{D5CDD505-2E9C-101B-9397-08002B2CF9AE}" pid="69" name="romanfontoptions">
    <vt:lpwstr>Ligatures=Common,Ligatures=TeX,Scale=0.94</vt:lpwstr>
  </property>
  <property fmtid="{D5CDD505-2E9C-101B-9397-08002B2CF9AE}" pid="70" name="sansfont">
    <vt:lpwstr>Liberation Sans</vt:lpwstr>
  </property>
  <property fmtid="{D5CDD505-2E9C-101B-9397-08002B2CF9AE}" pid="71" name="sansfontoptions">
    <vt:lpwstr>Ligatures=Common,Ligatures=TeX,Scale=MatchLowercase,Scale=0.94</vt:lpwstr>
  </property>
  <property fmtid="{D5CDD505-2E9C-101B-9397-08002B2CF9AE}" pid="72" name="secHeaderDelim">
    <vt:lpwstr> </vt:lpwstr>
  </property>
  <property fmtid="{D5CDD505-2E9C-101B-9397-08002B2CF9AE}" pid="73" name="secHeaderTemplate">
    <vt:lpwstr>isecHeaderDelim[n]t</vt:lpwstr>
  </property>
  <property fmtid="{D5CDD505-2E9C-101B-9397-08002B2CF9AE}" pid="74" name="secLabels">
    <vt:lpwstr>arabic</vt:lpwstr>
  </property>
  <property fmtid="{D5CDD505-2E9C-101B-9397-08002B2CF9AE}" pid="75" name="secPrefix">
    <vt:lpwstr/>
  </property>
  <property fmtid="{D5CDD505-2E9C-101B-9397-08002B2CF9AE}" pid="76" name="secPrefixTemplate">
    <vt:lpwstr>p i</vt:lpwstr>
  </property>
  <property fmtid="{D5CDD505-2E9C-101B-9397-08002B2CF9AE}" pid="77" name="sectionsDepth">
    <vt:lpwstr>0</vt:lpwstr>
  </property>
  <property fmtid="{D5CDD505-2E9C-101B-9397-08002B2CF9AE}" pid="78" name="subfigGrid">
    <vt:lpwstr>False</vt:lpwstr>
  </property>
  <property fmtid="{D5CDD505-2E9C-101B-9397-08002B2CF9AE}" pid="79" name="subfigLabels">
    <vt:lpwstr>alpha a</vt:lpwstr>
  </property>
  <property fmtid="{D5CDD505-2E9C-101B-9397-08002B2CF9AE}" pid="80" name="subfigureChildTemplate">
    <vt:lpwstr>i</vt:lpwstr>
  </property>
  <property fmtid="{D5CDD505-2E9C-101B-9397-08002B2CF9AE}" pid="81" name="subfigureRefIndexTemplate">
    <vt:lpwstr>isuf (s)</vt:lpwstr>
  </property>
  <property fmtid="{D5CDD505-2E9C-101B-9397-08002B2CF9AE}" pid="82" name="subfigureTemplate">
    <vt:lpwstr>figureTitle ititleDelim t. ccs</vt:lpwstr>
  </property>
  <property fmtid="{D5CDD505-2E9C-101B-9397-08002B2CF9AE}" pid="83" name="subtitle">
    <vt:lpwstr>Номер 12</vt:lpwstr>
  </property>
  <property fmtid="{D5CDD505-2E9C-101B-9397-08002B2CF9AE}" pid="84" name="tableEqns">
    <vt:lpwstr>False</vt:lpwstr>
  </property>
  <property fmtid="{D5CDD505-2E9C-101B-9397-08002B2CF9AE}" pid="85" name="tableTemplate">
    <vt:lpwstr>tableTitle ititleDelim t</vt:lpwstr>
  </property>
  <property fmtid="{D5CDD505-2E9C-101B-9397-08002B2CF9AE}" pid="86" name="tableTitle">
    <vt:lpwstr>Таблица</vt:lpwstr>
  </property>
  <property fmtid="{D5CDD505-2E9C-101B-9397-08002B2CF9AE}" pid="87" name="tblLabels">
    <vt:lpwstr>arabic</vt:lpwstr>
  </property>
  <property fmtid="{D5CDD505-2E9C-101B-9397-08002B2CF9AE}" pid="88" name="tblPrefix">
    <vt:lpwstr/>
  </property>
  <property fmtid="{D5CDD505-2E9C-101B-9397-08002B2CF9AE}" pid="89" name="tblPrefixTemplate">
    <vt:lpwstr>p i</vt:lpwstr>
  </property>
  <property fmtid="{D5CDD505-2E9C-101B-9397-08002B2CF9AE}" pid="90" name="titleDelim">
    <vt:lpwstr>:</vt:lpwstr>
  </property>
  <property fmtid="{D5CDD505-2E9C-101B-9397-08002B2CF9AE}" pid="91" name="toc">
    <vt:lpwstr>True</vt:lpwstr>
  </property>
  <property fmtid="{D5CDD505-2E9C-101B-9397-08002B2CF9AE}" pid="92" name="toc-depth">
    <vt:lpwstr>2</vt:lpwstr>
  </property>
  <property fmtid="{D5CDD505-2E9C-101B-9397-08002B2CF9AE}" pid="93" name="toc-title">
    <vt:lpwstr>Содержание</vt:lpwstr>
  </property>
</Properties>
</file>