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основных навыков по начальному конфигурированию оборудования Cisco.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рабочей области Packet Tracer размещаем коммутатор, маршрутизатор и 2 оконечных устройства типа PC, соединяем один PC с маршрутизатором, другой PC — с коммутатором (Рис. 1.1).</w:t>
      </w:r>
    </w:p>
    <w:p>
      <w:pPr>
        <w:pStyle w:val="CaptionedFigure"/>
      </w:pPr>
      <w:r>
        <w:drawing>
          <wp:inline>
            <wp:extent cx="5334000" cy="2594918"/>
            <wp:effectExtent b="0" l="0" r="0" t="0"/>
            <wp:docPr descr="Схема подключения оборудования для проведения его предварительной настройк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подключения оборудования для проведения его предварительной настройки</w:t>
      </w:r>
    </w:p>
    <w:p>
      <w:pPr>
        <w:pStyle w:val="BodyText"/>
      </w:pPr>
      <w:r>
        <w:t xml:space="preserve">Проводим настройку маршрутизатора в соответствии с заданием, ориентируясь на приведённую ниже часть конфигурации маршрутизатора (Рис. 1.2).</w:t>
      </w:r>
    </w:p>
    <w:p>
      <w:pPr>
        <w:pStyle w:val="CaptionedFigure"/>
      </w:pPr>
      <w:r>
        <w:drawing>
          <wp:inline>
            <wp:extent cx="5334000" cy="1755574"/>
            <wp:effectExtent b="0" l="0" r="0" t="0"/>
            <wp:docPr descr="Настройка маршрутизато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</w:t>
      </w:r>
    </w:p>
    <w:p>
      <w:pPr>
        <w:pStyle w:val="BodyText"/>
      </w:pPr>
      <w:r>
        <w:t xml:space="preserve">Проводим настройку коммутатора в соответствии с заданием, ориентируясьна приведённую ниже часть конфигурации коммутатора (Рис. 1.3).</w:t>
      </w:r>
    </w:p>
    <w:p>
      <w:pPr>
        <w:pStyle w:val="CaptionedFigure"/>
      </w:pPr>
      <w:r>
        <w:drawing>
          <wp:inline>
            <wp:extent cx="5256201" cy="4360984"/>
            <wp:effectExtent b="0" l="0" r="0" t="0"/>
            <wp:docPr descr="Настройка коммутатор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01" cy="436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</w:t>
      </w:r>
    </w:p>
    <w:p>
      <w:pPr>
        <w:pStyle w:val="BodyText"/>
      </w:pPr>
      <w:r>
        <w:t xml:space="preserve">Проверяем работоспособность соединений с помощью команды ping. Пробуем подключиться к коммутатору и маршрутизатору разными способами: с помощью консольного кабеля, по протоколу удалённого доступа (telnet, ssh) (Рис. 1.4).</w:t>
      </w:r>
    </w:p>
    <w:p>
      <w:pPr>
        <w:pStyle w:val="CaptionedFigure"/>
      </w:pPr>
      <w:r>
        <w:drawing>
          <wp:inline>
            <wp:extent cx="4872537" cy="1157387"/>
            <wp:effectExtent b="0" l="0" r="0" t="0"/>
            <wp:docPr descr="Проверка работоспособности соединен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37" cy="1157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соединений</w:t>
      </w:r>
    </w:p>
    <w:p>
      <w:pPr>
        <w:pStyle w:val="CaptionedFigure"/>
      </w:pPr>
      <w:r>
        <w:drawing>
          <wp:inline>
            <wp:extent cx="5334000" cy="1725146"/>
            <wp:effectExtent b="0" l="0" r="0" t="0"/>
            <wp:docPr descr="Проверка работоспособности соединени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соединений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основные навыки по начальному конфигурированию оборудования Cisco.</w:t>
      </w:r>
    </w:p>
    <w:bookmarkEnd w:id="37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2026-02-21T16:36:07Z</dcterms:created>
  <dcterms:modified xsi:type="dcterms:W3CDTF">2026-02-21T16:36:07Z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2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