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основных навыков по настройке VLAN на коммутаторах сети.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Используя приведённую последовательность команд из примера по конфигурации Trunk-порта, настраиваем Trunk-порты на соответствующих интерфейсах всех коммутаторов (Рис. 1.1), (Рис. 1.2), (Рис. 1.3), (Рис. 1.4), (Рис. 1.5)</w:t>
      </w:r>
    </w:p>
    <w:p>
      <w:pPr>
        <w:pStyle w:val="CaptionedFigure"/>
      </w:pPr>
      <w:r>
        <w:drawing>
          <wp:inline>
            <wp:extent cx="5334000" cy="5608888"/>
            <wp:effectExtent b="0" l="0" r="0" t="0"/>
            <wp:docPr descr="Настройка Trunk-портов на коммутаторе msk-donskaya-dkkobzev-s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msk-donskaya-dkkobzev-sw-1</w:t>
      </w:r>
    </w:p>
    <w:p>
      <w:pPr>
        <w:pStyle w:val="CaptionedFigure"/>
      </w:pPr>
      <w:r>
        <w:drawing>
          <wp:inline>
            <wp:extent cx="5334000" cy="3627120"/>
            <wp:effectExtent b="0" l="0" r="0" t="0"/>
            <wp:docPr descr="Настройка Trunk-портов на коммутаторе msk-donskaya-dkkobzev-sw-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msk-donskaya-dkkobzev-sw-2</w:t>
      </w:r>
    </w:p>
    <w:p>
      <w:pPr>
        <w:pStyle w:val="CaptionedFigure"/>
      </w:pPr>
      <w:r>
        <w:drawing>
          <wp:inline>
            <wp:extent cx="3938953" cy="1752067"/>
            <wp:effectExtent b="0" l="0" r="0" t="0"/>
            <wp:docPr descr="Настройка Trunk-портов на коммутаторе msk-donskaya-dkkobzev-sw-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53" cy="175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msk-donskaya-dkkobzev-sw-3</w:t>
      </w:r>
    </w:p>
    <w:p>
      <w:pPr>
        <w:pStyle w:val="CaptionedFigure"/>
      </w:pPr>
      <w:r>
        <w:drawing>
          <wp:inline>
            <wp:extent cx="3926165" cy="1713700"/>
            <wp:effectExtent b="0" l="0" r="0" t="0"/>
            <wp:docPr descr="Настройка Trunk-портов на коммутаторе msk-donskaya-dkkobzev-sw-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65" cy="17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msk-donskaya-dkkobzev-sw-4</w:t>
      </w:r>
    </w:p>
    <w:p>
      <w:pPr>
        <w:pStyle w:val="CaptionedFigure"/>
      </w:pPr>
      <w:r>
        <w:drawing>
          <wp:inline>
            <wp:extent cx="4054053" cy="1720095"/>
            <wp:effectExtent b="0" l="0" r="0" t="0"/>
            <wp:docPr descr="Настройка Trunk-портов на коммутаторе msk-pavlovskaya-dkkobzev-s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53" cy="172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msk-pavlovskaya-dkkobzev-sw-1</w:t>
      </w:r>
    </w:p>
    <w:p>
      <w:pPr>
        <w:pStyle w:val="BodyText"/>
      </w:pPr>
      <w:r>
        <w:t xml:space="preserve">Используя приведённую последовательность команд по конфигурации VTP, настраиваем коммутатор msk-donskaya-sw-1 как VTP-сервер и прописываем на нём номера и названия VLAN (Рис. 1.6).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Настройка коммутатора msk-donskaya-sw-1 как VTP-сервер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msk-donskaya-sw-1 как VTP-сервер</w:t>
      </w:r>
    </w:p>
    <w:p>
      <w:pPr>
        <w:pStyle w:val="BodyText"/>
      </w:pPr>
      <w:r>
        <w:t xml:space="preserve">Используя приведённую последовательность команд по конфигурации диапазонов портов, настраиваем коммутаторы msk-donskaya-sw-2 — msk-donskaya-sw-4, msk-pavlovskaya-sw-1 как VTP-клиенты и на интерфейсах указываем принадлежность к VLAN (Рис. 1.7), (Рис. 1.8), (Рис. 1.9), (Рис. 1.10).</w:t>
      </w:r>
    </w:p>
    <w:p>
      <w:pPr>
        <w:pStyle w:val="CaptionedFigure"/>
      </w:pPr>
      <w:r>
        <w:drawing>
          <wp:inline>
            <wp:extent cx="4412139" cy="2564156"/>
            <wp:effectExtent b="0" l="0" r="0" t="0"/>
            <wp:docPr descr="Настройка коммутатора msk-donskaya-sw-2 как VTP-клиент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39" cy="256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msk-donskaya-sw-2 как VTP-клиент</w:t>
      </w:r>
    </w:p>
    <w:p>
      <w:pPr>
        <w:pStyle w:val="CaptionedFigure"/>
      </w:pPr>
      <w:r>
        <w:drawing>
          <wp:inline>
            <wp:extent cx="4424928" cy="2129337"/>
            <wp:effectExtent b="0" l="0" r="0" t="0"/>
            <wp:docPr descr="Настройка коммутатора msk-donskaya-sw-3 как VTP-клиен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28" cy="21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msk-donskaya-sw-3 как VTP-клиент</w:t>
      </w:r>
    </w:p>
    <w:p>
      <w:pPr>
        <w:pStyle w:val="CaptionedFigure"/>
      </w:pPr>
      <w:r>
        <w:drawing>
          <wp:inline>
            <wp:extent cx="4597577" cy="3555289"/>
            <wp:effectExtent b="0" l="0" r="0" t="0"/>
            <wp:docPr descr="Настройка коммутатора msk-donskaya-sw-4 как VTP-клиент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77" cy="355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msk-donskaya-sw-4 как VTP-клиент</w:t>
      </w:r>
    </w:p>
    <w:p>
      <w:pPr>
        <w:pStyle w:val="CaptionedFigure"/>
      </w:pPr>
      <w:r>
        <w:drawing>
          <wp:inline>
            <wp:extent cx="4706282" cy="2596128"/>
            <wp:effectExtent b="0" l="0" r="0" t="0"/>
            <wp:docPr descr="Настройка коммутатора msk-pavlovskaya-sw-1 как VTP-клиент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82" cy="259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msk-pavlovskaya-sw-1 как VTP-клиент</w:t>
      </w:r>
    </w:p>
    <w:p>
      <w:pPr>
        <w:pStyle w:val="BodyText"/>
      </w:pPr>
      <w:r>
        <w:t xml:space="preserve">После указания статических IP-адресов на оконечных устройствах проверяем с помощью команды ping доступность устройств, принадлежащих одному VLAN, и недоступность устройств, принадлежащих разным VLAN (Рис. 1.11).</w:t>
      </w:r>
    </w:p>
    <w:p>
      <w:pPr>
        <w:pStyle w:val="CaptionedFigure"/>
      </w:pPr>
      <w:r>
        <w:drawing>
          <wp:inline>
            <wp:extent cx="3632022" cy="2468240"/>
            <wp:effectExtent b="0" l="0" r="0" t="0"/>
            <wp:docPr descr="Проверка доступности устройст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022" cy="246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устройств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основные навыки по настройке VLAN на коммутаторах сети.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2026-03-14T16:15:09Z</dcterms:created>
  <dcterms:modified xsi:type="dcterms:W3CDTF">2026-03-14T16:15:09Z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5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