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</w:p>
    <w:p>
      <w:pPr>
        <w:pStyle w:val="Subtitle"/>
      </w:pPr>
      <w:r>
        <w:t xml:space="preserve">Номер</w:t>
      </w:r>
      <w:r>
        <w:t xml:space="preserve"> </w:t>
      </w:r>
      <w:r>
        <w:t xml:space="preserve">3</w:t>
      </w:r>
    </w:p>
    <w:p>
      <w:pPr>
        <w:pStyle w:val="Author"/>
      </w:pPr>
      <w:r>
        <w:t xml:space="preserve">Кобзев</w:t>
      </w:r>
      <w:r>
        <w:t xml:space="preserve"> </w:t>
      </w:r>
      <w:r>
        <w:t xml:space="preserve">Д.</w:t>
      </w:r>
      <w:r>
        <w:t xml:space="preserve"> </w:t>
      </w:r>
      <w:r>
        <w:t xml:space="preserve">К.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ознакомление с принципами планирования локальной сети организации.</w:t>
      </w:r>
    </w:p>
    <w:bookmarkEnd w:id="20"/>
    <w:bookmarkStart w:id="54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Используя графический редактор Dia, повторяем схемы L1, L2, L3, а также сопутствующие им таблицы VLAN, IP-адресов и портов подключения оборудования планируемой сети (Рис. 1.1), (Рис. 1.2), (Рис. 1.3), (Рис. 1.4), (Рис. 1.5), (Рис. 1.6), (Рис. 1.7).</w:t>
      </w:r>
    </w:p>
    <w:p>
      <w:pPr>
        <w:pStyle w:val="CaptionedFigure"/>
      </w:pPr>
      <w:r>
        <w:drawing>
          <wp:inline>
            <wp:extent cx="5334000" cy="3506427"/>
            <wp:effectExtent b="0" l="0" r="0" t="0"/>
            <wp:docPr descr="Физические устройства сети с номерами портов (Layer 1)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6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Физические устройства сети с номерами портов (Layer 1)</w:t>
      </w:r>
    </w:p>
    <w:p>
      <w:pPr>
        <w:pStyle w:val="CaptionedFigure"/>
      </w:pPr>
      <w:r>
        <w:drawing>
          <wp:inline>
            <wp:extent cx="5334000" cy="3442701"/>
            <wp:effectExtent b="0" l="0" r="0" t="0"/>
            <wp:docPr descr="Схема VLAN сети (Layer 2)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2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VLAN сети (Layer 2)</w:t>
      </w:r>
    </w:p>
    <w:p>
      <w:pPr>
        <w:pStyle w:val="CaptionedFigure"/>
      </w:pPr>
      <w:r>
        <w:drawing>
          <wp:inline>
            <wp:extent cx="5334000" cy="3801933"/>
            <wp:effectExtent b="0" l="0" r="0" t="0"/>
            <wp:docPr descr="Схема маршрутизации сети (Layer 3)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1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маршрутизации сети (Layer 3)</w:t>
      </w:r>
    </w:p>
    <w:p>
      <w:pPr>
        <w:pStyle w:val="CaptionedFigure"/>
      </w:pPr>
      <w:r>
        <w:drawing>
          <wp:inline>
            <wp:extent cx="5334000" cy="1460297"/>
            <wp:effectExtent b="0" l="0" r="0" t="0"/>
            <wp:docPr descr="Таблица VLAN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0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Таблица VLAN</w:t>
      </w:r>
    </w:p>
    <w:p>
      <w:pPr>
        <w:pStyle w:val="CaptionedFigure"/>
      </w:pPr>
      <w:r>
        <w:drawing>
          <wp:inline>
            <wp:extent cx="5334000" cy="4812135"/>
            <wp:effectExtent b="0" l="0" r="0" t="0"/>
            <wp:docPr descr="Таблица IP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2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Таблица IP</w:t>
      </w:r>
    </w:p>
    <w:p>
      <w:pPr>
        <w:pStyle w:val="CaptionedFigure"/>
      </w:pPr>
      <w:r>
        <w:drawing>
          <wp:inline>
            <wp:extent cx="5334000" cy="2555097"/>
            <wp:effectExtent b="0" l="0" r="0" t="0"/>
            <wp:docPr descr="Таблица портов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5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Таблица портов</w:t>
      </w:r>
    </w:p>
    <w:p>
      <w:pPr>
        <w:pStyle w:val="CaptionedFigure"/>
      </w:pPr>
      <w:r>
        <w:drawing>
          <wp:inline>
            <wp:extent cx="5006819" cy="1713700"/>
            <wp:effectExtent b="0" l="0" r="0" t="0"/>
            <wp:docPr descr="Регламент выделения ip-адресов (для сети класса C)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819" cy="171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Регламент выделения ip-адресов (для сети класса C)</w:t>
      </w:r>
    </w:p>
    <w:p>
      <w:pPr>
        <w:pStyle w:val="BodyText"/>
      </w:pPr>
      <w:r>
        <w:t xml:space="preserve">Делаем аналогичный план адресного пространства для сетей 172.16.0.0/12 и 192.168.0.0/16 с соответствующими схемами сети и сопутствующей таблицей IP-адресов (Рис. 1.8), (Рис. 1.9), (Рис. 1.10), (Рис. 1.11).</w:t>
      </w:r>
    </w:p>
    <w:p>
      <w:pPr>
        <w:pStyle w:val="CaptionedFigure"/>
      </w:pPr>
      <w:r>
        <w:drawing>
          <wp:inline>
            <wp:extent cx="5334000" cy="3581339"/>
            <wp:effectExtent b="0" l="0" r="0" t="0"/>
            <wp:docPr descr="Схема маршрутизации сети (Layer 3) для сети 172.16.0.0/12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1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маршрутизации сети (Layer 3) для сети 172.16.0.0/12</w:t>
      </w:r>
    </w:p>
    <w:p>
      <w:pPr>
        <w:pStyle w:val="CaptionedFigure"/>
      </w:pPr>
      <w:r>
        <w:drawing>
          <wp:inline>
            <wp:extent cx="5334000" cy="4767942"/>
            <wp:effectExtent b="0" l="0" r="0" t="0"/>
            <wp:docPr descr="Таблица IP для сети 172.16.0.0/12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7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Таблица IP для сети 172.16.0.0/12</w:t>
      </w:r>
    </w:p>
    <w:p>
      <w:pPr>
        <w:pStyle w:val="CaptionedFigure"/>
      </w:pPr>
      <w:r>
        <w:drawing>
          <wp:inline>
            <wp:extent cx="5334000" cy="3658634"/>
            <wp:effectExtent b="0" l="0" r="0" t="0"/>
            <wp:docPr descr="Схема маршрутизации сети (Layer 3) для сети 192.168.0.0/16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8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маршрутизации сети (Layer 3) для сети 192.168.0.0/16</w:t>
      </w:r>
    </w:p>
    <w:p>
      <w:pPr>
        <w:pStyle w:val="CaptionedFigure"/>
      </w:pPr>
      <w:r>
        <w:drawing>
          <wp:inline>
            <wp:extent cx="5334000" cy="4867069"/>
            <wp:effectExtent b="0" l="0" r="0" t="0"/>
            <wp:docPr descr="Таблица IP для сети 192.168.0.0/16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7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Таблица IP для сети 192.168.0.0/16</w:t>
      </w:r>
    </w:p>
    <w:bookmarkEnd w:id="54"/>
    <w:bookmarkStart w:id="55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я был ознакомлен с принципами планирования локальной сети организации.</w:t>
      </w:r>
    </w:p>
    <w:bookmarkEnd w:id="55"/>
    <w:bookmarkStart w:id="56" w:name="список-литературы"/>
    <w:p>
      <w:pPr>
        <w:pStyle w:val="Heading1"/>
      </w:pPr>
      <w:r>
        <w:t xml:space="preserve">Список литературы</w:t>
      </w:r>
    </w:p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</dc:title>
  <dc:creator>Кобзев Д. К.</dc:creator>
  <dc:language>ru-RU</dc:language>
  <cp:keywords/>
  <dcterms:created xsi:type="dcterms:W3CDTF">2026-02-28T16:34:20Z</dcterms:created>
  <dcterms:modified xsi:type="dcterms:W3CDTF">2026-02-28T16:34:20Z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graphy">
    <vt:lpwstr>bib/cite.bib</vt:lpwstr>
  </property>
  <property fmtid="{D5CDD505-2E9C-101B-9397-08002B2CF9AE}" pid="7" name="ccsDelim">
    <vt:lpwstr>, </vt:lpwstr>
  </property>
  <property fmtid="{D5CDD505-2E9C-101B-9397-08002B2CF9AE}" pid="8" name="ccsLabelSep">
    <vt:lpwstr> — </vt:lpwstr>
  </property>
  <property fmtid="{D5CDD505-2E9C-101B-9397-08002B2CF9AE}" pid="9" name="ccsTemplate">
    <vt:lpwstr>iccsLabelSept</vt:lpwstr>
  </property>
  <property fmtid="{D5CDD505-2E9C-101B-9397-08002B2CF9AE}" pid="10" name="chapDelim">
    <vt:lpwstr>.</vt:lpwstr>
  </property>
  <property fmtid="{D5CDD505-2E9C-101B-9397-08002B2CF9AE}" pid="11" name="chapters">
    <vt:lpwstr>False</vt:lpwstr>
  </property>
  <property fmtid="{D5CDD505-2E9C-101B-9397-08002B2CF9AE}" pid="12" name="chaptersDepth">
    <vt:lpwstr>1</vt:lpwstr>
  </property>
  <property fmtid="{D5CDD505-2E9C-101B-9397-08002B2CF9AE}" pid="13" name="codeBlockCaptions">
    <vt:lpwstr>False</vt:lpwstr>
  </property>
  <property fmtid="{D5CDD505-2E9C-101B-9397-08002B2CF9AE}" pid="14" name="cref">
    <vt:lpwstr>False</vt:lpwstr>
  </property>
  <property fmtid="{D5CDD505-2E9C-101B-9397-08002B2CF9AE}" pid="15" name="crossrefYaml">
    <vt:lpwstr>pandoc-crossref.yaml</vt:lpwstr>
  </property>
  <property fmtid="{D5CDD505-2E9C-101B-9397-08002B2CF9AE}" pid="16" name="csl">
    <vt:lpwstr>/home/dkkobzev/pandoc/csl/gost-r-7-0-5-2008-numeric.csl</vt:lpwstr>
  </property>
  <property fmtid="{D5CDD505-2E9C-101B-9397-08002B2CF9AE}" pid="17" name="documentclass">
    <vt:lpwstr>scrreprt</vt:lpwstr>
  </property>
  <property fmtid="{D5CDD505-2E9C-101B-9397-08002B2CF9AE}" pid="18" name="eqLabels">
    <vt:lpwstr>arabic</vt:lpwstr>
  </property>
  <property fmtid="{D5CDD505-2E9C-101B-9397-08002B2CF9AE}" pid="19" name="eqnBlockInlineMath">
    <vt:lpwstr>False</vt:lpwstr>
  </property>
  <property fmtid="{D5CDD505-2E9C-101B-9397-08002B2CF9AE}" pid="20" name="eqnBlockTemplate">
    <vt:lpwstr>ti</vt:lpwstr>
  </property>
  <property fmtid="{D5CDD505-2E9C-101B-9397-08002B2CF9AE}" pid="21" name="eqnIndexTemplate">
    <vt:lpwstr>(i)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Листинг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ItemTemplate">
    <vt:lpwstr>lofItemTitleilistItemTitleDelimt </vt:lpwstr>
  </property>
  <property fmtid="{D5CDD505-2E9C-101B-9397-08002B2CF9AE}" pid="43" name="lofItemTitle">
    <vt:lpwstr/>
  </property>
  <property fmtid="{D5CDD505-2E9C-101B-9397-08002B2CF9AE}" pid="44" name="lofTitle">
    <vt:lpwstr>Список иллюстраций</vt:lpwstr>
  </property>
  <property fmtid="{D5CDD505-2E9C-101B-9397-08002B2CF9AE}" pid="45" name="lolItemTemplate">
    <vt:lpwstr>lolItemTitleilistItemTitleDelimt </vt:lpwstr>
  </property>
  <property fmtid="{D5CDD505-2E9C-101B-9397-08002B2CF9AE}" pid="46" name="lolItemTitle">
    <vt:lpwstr/>
  </property>
  <property fmtid="{D5CDD505-2E9C-101B-9397-08002B2CF9AE}" pid="47" name="lolTitle">
    <vt:lpwstr>Листинги</vt:lpwstr>
  </property>
  <property fmtid="{D5CDD505-2E9C-101B-9397-08002B2CF9AE}" pid="48" name="lot">
    <vt:lpwstr>True</vt:lpwstr>
  </property>
  <property fmtid="{D5CDD505-2E9C-101B-9397-08002B2CF9AE}" pid="49" name="lotItemTemplate">
    <vt:lpwstr>lotItemTitleilistItemTitleDelimt </vt:lpwstr>
  </property>
  <property fmtid="{D5CDD505-2E9C-101B-9397-08002B2CF9AE}" pid="50" name="lotItemTitle">
    <vt:lpwstr/>
  </property>
  <property fmtid="{D5CDD505-2E9C-101B-9397-08002B2CF9AE}" pid="51" name="lotTitle">
    <vt:lpwstr>Список таблиц</vt:lpwstr>
  </property>
  <property fmtid="{D5CDD505-2E9C-101B-9397-08002B2CF9AE}" pid="52" name="lstLabels">
    <vt:lpwstr>arabic</vt:lpwstr>
  </property>
  <property fmtid="{D5CDD505-2E9C-101B-9397-08002B2CF9AE}" pid="53" name="lstPrefix">
    <vt:lpwstr/>
  </property>
  <property fmtid="{D5CDD505-2E9C-101B-9397-08002B2CF9AE}" pid="54" name="lstPrefixTemplate">
    <vt:lpwstr>p i</vt:lpwstr>
  </property>
  <property fmtid="{D5CDD505-2E9C-101B-9397-08002B2CF9AE}" pid="55" name="mainfont">
    <vt:lpwstr>Liberation Serif</vt:lpwstr>
  </property>
  <property fmtid="{D5CDD505-2E9C-101B-9397-08002B2CF9AE}" pid="56" name="mainfontoptions">
    <vt:lpwstr>Ligatures=Common,Ligatures=TeX,Scale=0.94</vt:lpwstr>
  </property>
  <property fmtid="{D5CDD505-2E9C-101B-9397-08002B2CF9AE}" pid="57" name="monofont">
    <vt:lpwstr>Liberation Mono</vt:lpwstr>
  </property>
  <property fmtid="{D5CDD505-2E9C-101B-9397-08002B2CF9AE}" pid="58" name="monofontoptions">
    <vt:lpwstr>Scale=MatchLowercase,Scale=0.94,FakeStretch=0.9</vt:lpwstr>
  </property>
  <property fmtid="{D5CDD505-2E9C-101B-9397-08002B2CF9AE}" pid="59" name="nameInLink">
    <vt:lpwstr>False</vt:lpwstr>
  </property>
  <property fmtid="{D5CDD505-2E9C-101B-9397-08002B2CF9AE}" pid="60" name="numberSections">
    <vt:lpwstr>False</vt:lpwstr>
  </property>
  <property fmtid="{D5CDD505-2E9C-101B-9397-08002B2CF9AE}" pid="61" name="pairDelim">
    <vt:lpwstr>, </vt:lpwstr>
  </property>
  <property fmtid="{D5CDD505-2E9C-101B-9397-08002B2CF9AE}" pid="62" name="papersize">
    <vt:lpwstr>a4</vt:lpwstr>
  </property>
  <property fmtid="{D5CDD505-2E9C-101B-9397-08002B2CF9AE}" pid="63" name="polyglossia-lang">
    <vt:lpwstr/>
  </property>
  <property fmtid="{D5CDD505-2E9C-101B-9397-08002B2CF9AE}" pid="64" name="polyglossia-otherlangs">
    <vt:lpwstr/>
  </property>
  <property fmtid="{D5CDD505-2E9C-101B-9397-08002B2CF9AE}" pid="65" name="rangeDelim">
    <vt:lpwstr>-</vt:lpwstr>
  </property>
  <property fmtid="{D5CDD505-2E9C-101B-9397-08002B2CF9AE}" pid="66" name="refDelim">
    <vt:lpwstr>, </vt:lpwstr>
  </property>
  <property fmtid="{D5CDD505-2E9C-101B-9397-08002B2CF9AE}" pid="67" name="refIndexTemplate">
    <vt:lpwstr>isuf</vt:lpwstr>
  </property>
  <property fmtid="{D5CDD505-2E9C-101B-9397-08002B2CF9AE}" pid="68" name="romanfont">
    <vt:lpwstr>Liberation Serif</vt:lpwstr>
  </property>
  <property fmtid="{D5CDD505-2E9C-101B-9397-08002B2CF9AE}" pid="69" name="romanfontoptions">
    <vt:lpwstr>Ligatures=Common,Ligatures=TeX,Scale=0.94</vt:lpwstr>
  </property>
  <property fmtid="{D5CDD505-2E9C-101B-9397-08002B2CF9AE}" pid="70" name="sansfont">
    <vt:lpwstr>Liberation Sans</vt:lpwstr>
  </property>
  <property fmtid="{D5CDD505-2E9C-101B-9397-08002B2CF9AE}" pid="71" name="sansfontoptions">
    <vt:lpwstr>Ligatures=Common,Ligatures=TeX,Scale=MatchLowercase,Scale=0.94</vt:lpwstr>
  </property>
  <property fmtid="{D5CDD505-2E9C-101B-9397-08002B2CF9AE}" pid="72" name="secHeaderDelim">
    <vt:lpwstr> </vt:lpwstr>
  </property>
  <property fmtid="{D5CDD505-2E9C-101B-9397-08002B2CF9AE}" pid="73" name="secHeaderTemplate">
    <vt:lpwstr>isecHeaderDelim[n]t</vt:lpwstr>
  </property>
  <property fmtid="{D5CDD505-2E9C-101B-9397-08002B2CF9AE}" pid="74" name="secLabels">
    <vt:lpwstr>arabic</vt:lpwstr>
  </property>
  <property fmtid="{D5CDD505-2E9C-101B-9397-08002B2CF9AE}" pid="75" name="secPrefix">
    <vt:lpwstr/>
  </property>
  <property fmtid="{D5CDD505-2E9C-101B-9397-08002B2CF9AE}" pid="76" name="secPrefixTemplate">
    <vt:lpwstr>p i</vt:lpwstr>
  </property>
  <property fmtid="{D5CDD505-2E9C-101B-9397-08002B2CF9AE}" pid="77" name="sectionsDepth">
    <vt:lpwstr>0</vt:lpwstr>
  </property>
  <property fmtid="{D5CDD505-2E9C-101B-9397-08002B2CF9AE}" pid="78" name="subfigGrid">
    <vt:lpwstr>False</vt:lpwstr>
  </property>
  <property fmtid="{D5CDD505-2E9C-101B-9397-08002B2CF9AE}" pid="79" name="subfigLabels">
    <vt:lpwstr>alpha a</vt:lpwstr>
  </property>
  <property fmtid="{D5CDD505-2E9C-101B-9397-08002B2CF9AE}" pid="80" name="subfigureChildTemplate">
    <vt:lpwstr>i</vt:lpwstr>
  </property>
  <property fmtid="{D5CDD505-2E9C-101B-9397-08002B2CF9AE}" pid="81" name="subfigureRefIndexTemplate">
    <vt:lpwstr>isuf (s)</vt:lpwstr>
  </property>
  <property fmtid="{D5CDD505-2E9C-101B-9397-08002B2CF9AE}" pid="82" name="subfigureTemplate">
    <vt:lpwstr>figureTitle ititleDelim t. ccs</vt:lpwstr>
  </property>
  <property fmtid="{D5CDD505-2E9C-101B-9397-08002B2CF9AE}" pid="83" name="subtitle">
    <vt:lpwstr>Номер 3</vt:lpwstr>
  </property>
  <property fmtid="{D5CDD505-2E9C-101B-9397-08002B2CF9AE}" pid="84" name="tableEqns">
    <vt:lpwstr>False</vt:lpwstr>
  </property>
  <property fmtid="{D5CDD505-2E9C-101B-9397-08002B2CF9AE}" pid="85" name="tableTemplate">
    <vt:lpwstr>tableTitle ititleDelim t</vt:lpwstr>
  </property>
  <property fmtid="{D5CDD505-2E9C-101B-9397-08002B2CF9AE}" pid="86" name="tableTitle">
    <vt:lpwstr>Таблица</vt:lpwstr>
  </property>
  <property fmtid="{D5CDD505-2E9C-101B-9397-08002B2CF9AE}" pid="87" name="tblLabels">
    <vt:lpwstr>arabic</vt:lpwstr>
  </property>
  <property fmtid="{D5CDD505-2E9C-101B-9397-08002B2CF9AE}" pid="88" name="tblPrefix">
    <vt:lpwstr/>
  </property>
  <property fmtid="{D5CDD505-2E9C-101B-9397-08002B2CF9AE}" pid="89" name="tblPrefixTemplate">
    <vt:lpwstr>p i</vt:lpwstr>
  </property>
  <property fmtid="{D5CDD505-2E9C-101B-9397-08002B2CF9AE}" pid="90" name="titleDelim">
    <vt:lpwstr>:</vt:lpwstr>
  </property>
  <property fmtid="{D5CDD505-2E9C-101B-9397-08002B2CF9AE}" pid="91" name="toc">
    <vt:lpwstr>True</vt:lpwstr>
  </property>
  <property fmtid="{D5CDD505-2E9C-101B-9397-08002B2CF9AE}" pid="92" name="toc-depth">
    <vt:lpwstr>2</vt:lpwstr>
  </property>
  <property fmtid="{D5CDD505-2E9C-101B-9397-08002B2CF9AE}" pid="93" name="toc-title">
    <vt:lpwstr>Содержание</vt:lpwstr>
  </property>
</Properties>
</file>