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16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настройки VPN-туннеля через незащищённое Интернет-соединение.</w:t>
      </w:r>
    </w:p>
    <w:bookmarkEnd w:id="20"/>
    <w:bookmarkStart w:id="2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Размещаем в рабочей области проекта в соответствии с модельными предположениями оборудование для сети Университета г. Пиза. (Рис. 1.1).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Схема сети с дополнительными площадками</w:t>
            </w:r>
          </w:p>
        </w:tc>
      </w:tr>
    </w:tbl>
    <w:p>
      <w:pPr>
        <w:pStyle w:val="ImageCaption"/>
      </w:pPr>
      <w:r>
        <w:t xml:space="preserve">Схема сети с дополнительными площадками</w:t>
      </w:r>
    </w:p>
    <w:p>
      <w:pPr>
        <w:pStyle w:val="BodyText"/>
      </w:pPr>
      <w:r>
        <w:t xml:space="preserve">В физической рабочей области проекта создаем город Пиза, здание Университета г. Пиза. Перемещаем туда соответствующее оборудование. (Рис. 1.2).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Физическая рабочая область</w:t>
            </w:r>
          </w:p>
        </w:tc>
      </w:tr>
    </w:tbl>
    <w:p>
      <w:pPr>
        <w:pStyle w:val="ImageCaption"/>
      </w:pPr>
      <w:r>
        <w:t xml:space="preserve">Физическая рабочая область</w:t>
      </w:r>
    </w:p>
    <w:p>
      <w:pPr>
        <w:pStyle w:val="BodyText"/>
      </w:pPr>
      <w:r>
        <w:t xml:space="preserve">Выполняем первоначальную настройку и настройку интерфейсов оборудования сети Университета г. Пиза (Рис. 1.3), (Рис. 1.4), (Рис. 1.5), (Рис. 1.6).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Первоначальная настройка маршрутизатора pisa-unipi-gw-1</w:t>
            </w:r>
          </w:p>
        </w:tc>
      </w:tr>
    </w:tbl>
    <w:p>
      <w:pPr>
        <w:pStyle w:val="ImageCaption"/>
      </w:pPr>
      <w:r>
        <w:t xml:space="preserve">Первоначальная настройка маршрутизатора pisa-unipi-gw-1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Первоначальная настройка коммутатора pisa-unipi-sw-1</w:t>
            </w:r>
          </w:p>
        </w:tc>
      </w:tr>
    </w:tbl>
    <w:p>
      <w:pPr>
        <w:pStyle w:val="ImageCaption"/>
      </w:pPr>
      <w:r>
        <w:t xml:space="preserve">Первоначальная настройка коммутатора pisa-unipi-sw-1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интерфейсов маршрутизатора pisa-unipi-gw-1</w:t>
            </w:r>
          </w:p>
        </w:tc>
      </w:tr>
    </w:tbl>
    <w:p>
      <w:pPr>
        <w:pStyle w:val="ImageCaption"/>
      </w:pPr>
      <w:r>
        <w:t xml:space="preserve">Настройка интерфейсов маршрутизатора pisa-unipi-gw-1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интерфейсов коммутатора pisa-unipi-sw-1</w:t>
            </w:r>
          </w:p>
        </w:tc>
      </w:tr>
    </w:tbl>
    <w:p>
      <w:pPr>
        <w:pStyle w:val="ImageCaption"/>
      </w:pPr>
      <w:r>
        <w:t xml:space="preserve">Настройка интерфейсов коммутатора pisa-unipi-sw-1</w:t>
      </w:r>
    </w:p>
    <w:p>
      <w:pPr>
        <w:pStyle w:val="BodyText"/>
      </w:pPr>
      <w:r>
        <w:t xml:space="preserve">Настраиваем VPN на основе протокола GRE (Рис. 1.7), (Рис. 1.8).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маршрутизатора msk-donskaya-gw-1</w:t>
            </w:r>
          </w:p>
        </w:tc>
      </w:tr>
    </w:tbl>
    <w:p>
      <w:pPr>
        <w:pStyle w:val="ImageCaption"/>
      </w:pPr>
      <w:r>
        <w:t xml:space="preserve">Настройка маршрутизатора msk-donskaya-gw-1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маршрутизатора pisa-unipi-gw-1</w:t>
            </w:r>
          </w:p>
        </w:tc>
      </w:tr>
    </w:tbl>
    <w:p>
      <w:pPr>
        <w:pStyle w:val="ImageCaption"/>
      </w:pPr>
      <w:r>
        <w:t xml:space="preserve">Настройка маршрутизатора pisa-unipi-gw-1</w:t>
      </w:r>
    </w:p>
    <w:bookmarkEnd w:id="21"/>
    <w:bookmarkStart w:id="2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получены навыки настройки VPN-туннеля через незащищённое Интернет-соединение.</w:t>
      </w:r>
    </w:p>
    <w:bookmarkEnd w:id="22"/>
    <w:bookmarkStart w:id="23" w:name="список-литературы"/>
    <w:p>
      <w:pPr>
        <w:pStyle w:val="Heading1"/>
      </w:pPr>
      <w:r>
        <w:t xml:space="preserve">Список литературы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2026-06-18T13:36:16Z</dcterms:created>
  <dcterms:modified xsi:type="dcterms:W3CDTF">2026-06-18T13:36:16Z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16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