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проведение подготовительной работы по первоначальной настройке коммутаторов сети.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размещаем коммутаторы и оконечные устройства согласно схеме сети L1 и соединяем их через соответствующие интерфейсы (Рис. 1.1).</w:t>
      </w:r>
    </w:p>
    <w:p>
      <w:pPr>
        <w:pStyle w:val="CaptionedFigure"/>
      </w:pPr>
      <w:r>
        <w:drawing>
          <wp:inline>
            <wp:extent cx="5334000" cy="2939072"/>
            <wp:effectExtent b="0" l="0" r="0" t="0"/>
            <wp:docPr descr="Размещение коммутаторов и оконечных устройств согласно схеме сети L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коммутаторов и оконечных устройств согласно схеме сети L1</w:t>
      </w:r>
    </w:p>
    <w:p>
      <w:pPr>
        <w:pStyle w:val="BodyText"/>
      </w:pPr>
      <w:r>
        <w:t xml:space="preserve">Используя типовую конфигурацию коммутатора, настраиваем все коммутаторы, изменяя название устройства и его IP-адрес согласно плану IP (Рис. 1.2), (Рис. 1.3), (Рис. 1.4), (Рис. 1.5), (Рис. 1.6).</w:t>
      </w:r>
    </w:p>
    <w:p>
      <w:pPr>
        <w:pStyle w:val="CaptionedFigure"/>
      </w:pPr>
      <w:r>
        <w:drawing>
          <wp:inline>
            <wp:extent cx="5160285" cy="6240939"/>
            <wp:effectExtent b="0" l="0" r="0" t="0"/>
            <wp:docPr descr="Первоначальная настройка коммутатора msk-donskaya-dkkobzev-s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624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msk-donskaya-dkkobzev-sw-1</w:t>
      </w:r>
    </w:p>
    <w:p>
      <w:pPr>
        <w:pStyle w:val="CaptionedFigure"/>
      </w:pPr>
      <w:r>
        <w:drawing>
          <wp:inline>
            <wp:extent cx="5179468" cy="6496716"/>
            <wp:effectExtent b="0" l="0" r="0" t="0"/>
            <wp:docPr descr="Первоначальная настройка коммутатора msk-donskaya-dkkobzev-sw-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649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msk-donskaya-dkkobzev-sw-2</w:t>
      </w:r>
    </w:p>
    <w:p>
      <w:pPr>
        <w:pStyle w:val="CaptionedFigure"/>
      </w:pPr>
      <w:r>
        <w:drawing>
          <wp:inline>
            <wp:extent cx="5192257" cy="5575921"/>
            <wp:effectExtent b="0" l="0" r="0" t="0"/>
            <wp:docPr descr="Первоначальная настройка коммутатора msk-donskaya-dkkobzev-sw-3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57" cy="557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msk-donskaya-dkkobzev-sw-3</w:t>
      </w:r>
    </w:p>
    <w:p>
      <w:pPr>
        <w:pStyle w:val="CaptionedFigure"/>
      </w:pPr>
      <w:r>
        <w:drawing>
          <wp:inline>
            <wp:extent cx="5160285" cy="6509504"/>
            <wp:effectExtent b="0" l="0" r="0" t="0"/>
            <wp:docPr descr="Первоначальная настройка коммутатора msk-donskaya-dkkobzev-sw-4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650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msk-donskaya-dkkobzev-sw-4</w:t>
      </w:r>
    </w:p>
    <w:p>
      <w:pPr>
        <w:pStyle w:val="CaptionedFigure"/>
      </w:pPr>
      <w:r>
        <w:drawing>
          <wp:inline>
            <wp:extent cx="5300962" cy="6356039"/>
            <wp:effectExtent b="0" l="0" r="0" t="0"/>
            <wp:docPr descr="Первоначальная настройка коммутатора msk-donskaya-dkkobzev-s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62" cy="635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msk-donskaya-dkkobzev-sw-1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была проведена подготовительная работа по первоначальной настройке коммутаторов сети.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2026-03-07T13:59:00Z</dcterms:created>
  <dcterms:modified xsi:type="dcterms:W3CDTF">2026-03-07T13:59:00Z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4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