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27.png" ContentType="image/png"/>
  <Override PartName="/word/media/rId24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9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возможностей протокола STP и его модификаций по обеспечению отказоустойчивости сети, агрегированию интерфейсов и перераспределению</w:t>
      </w:r>
      <w:r>
        <w:t xml:space="preserve"> </w:t>
      </w:r>
      <w:r>
        <w:t xml:space="preserve">нагрузки между ними.</w:t>
      </w:r>
    </w:p>
    <w:bookmarkEnd w:id="20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Формируем резервное соединение между коммутаторами msk-donskaya-sw-1 и msk-donskaya-sw-3 (Рис. 1.1).</w:t>
      </w:r>
    </w:p>
    <w:p>
      <w:pPr>
        <w:pStyle w:val="CaptionedFigure"/>
      </w:pPr>
      <w:r>
        <w:drawing>
          <wp:inline>
            <wp:extent cx="5334000" cy="2775074"/>
            <wp:effectExtent b="0" l="0" r="0" t="0"/>
            <wp:docPr descr="Логическая схема локальной сети с резервным соединением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Логическая схема локальной сети с резервным соединением</w:t>
      </w:r>
    </w:p>
    <w:p>
      <w:pPr>
        <w:pStyle w:val="BodyText"/>
      </w:pPr>
      <w:r>
        <w:t xml:space="preserve">С оконечного устройства dk-donskaya-1 пингуем серверы mail и web. В режиме симуляции следим за движением пакетов ICMP. Убеждаеся, что движение пакетов происходит через коммутатор msk-donskaya-sw-2 (Рис. 1.2), (Рис. 1.3).</w:t>
      </w:r>
    </w:p>
    <w:p>
      <w:pPr>
        <w:pStyle w:val="CaptionedFigure"/>
      </w:pPr>
      <w:r>
        <w:drawing>
          <wp:inline>
            <wp:extent cx="3919770" cy="4546422"/>
            <wp:effectExtent b="0" l="0" r="0" t="0"/>
            <wp:docPr descr="Пинг серверов mail и web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770" cy="4546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Пинг серверов mail и web</w:t>
      </w:r>
    </w:p>
    <w:p>
      <w:pPr>
        <w:pStyle w:val="CaptionedFigure"/>
      </w:pPr>
      <w:r>
        <w:drawing>
          <wp:inline>
            <wp:extent cx="5334000" cy="3378199"/>
            <wp:effectExtent b="0" l="0" r="0" t="0"/>
            <wp:docPr descr="Симуляция пакетов ICMP" title="" id="28" name="Picture"/>
            <a:graphic>
              <a:graphicData uri="http://schemas.openxmlformats.org/drawingml/2006/picture">
                <pic:pic>
                  <pic:nvPicPr>
                    <pic:cNvPr descr="image/2.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Симуляция пакетов ICMP</w:t>
      </w:r>
    </w:p>
    <w:p>
      <w:pPr>
        <w:pStyle w:val="BodyText"/>
      </w:pPr>
      <w:r>
        <w:t xml:space="preserve">На коммутаторе msk-donskaya-sw-2 смотрим состояние протокола STP для vlan 3 (Рис. 1.4).</w:t>
      </w:r>
    </w:p>
    <w:p>
      <w:pPr>
        <w:pStyle w:val="CaptionedFigure"/>
      </w:pPr>
      <w:r>
        <w:drawing>
          <wp:inline>
            <wp:extent cx="4444111" cy="2979793"/>
            <wp:effectExtent b="0" l="0" r="0" t="0"/>
            <wp:docPr descr="Состояние протокола STP для vlan 3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111" cy="2979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Состояние протокола STP для vlan 3</w:t>
      </w:r>
    </w:p>
    <w:p>
      <w:pPr>
        <w:pStyle w:val="BodyText"/>
      </w:pPr>
      <w:r>
        <w:t xml:space="preserve">В качестве корневого коммутатора STP настраиваем коммутатор msk-donskaya-sw-1 (Рис. 1.5).</w:t>
      </w:r>
    </w:p>
    <w:p>
      <w:pPr>
        <w:pStyle w:val="CaptionedFigure"/>
      </w:pPr>
      <w:r>
        <w:drawing>
          <wp:inline>
            <wp:extent cx="4533633" cy="377269"/>
            <wp:effectExtent b="0" l="0" r="0" t="0"/>
            <wp:docPr descr="Настройка коммутатора msk-donskaya-sw-1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633" cy="377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msk-donskaya-sw-1</w:t>
      </w:r>
    </w:p>
    <w:p>
      <w:pPr>
        <w:pStyle w:val="BodyText"/>
      </w:pPr>
      <w:r>
        <w:t xml:space="preserve">Настраиваем режим Portfast на тех интерфейсах коммутаторов, к которым подключены серверы (Рис. 1.6).</w:t>
      </w:r>
    </w:p>
    <w:p>
      <w:pPr>
        <w:pStyle w:val="CaptionedFigure"/>
      </w:pPr>
      <w:r>
        <w:drawing>
          <wp:inline>
            <wp:extent cx="5334000" cy="1220611"/>
            <wp:effectExtent b="0" l="0" r="0" t="0"/>
            <wp:docPr descr="Настройка режима Portfast на тех интерфейсах коммутаторов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0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режима Portfast на тех интерфейсах коммутаторов</w:t>
      </w:r>
    </w:p>
    <w:p>
      <w:pPr>
        <w:pStyle w:val="BodyText"/>
      </w:pPr>
      <w:r>
        <w:t xml:space="preserve">Изучаем отказоустойчивость протокола STP и время восстановления соединения при переключении на резервное соединение. Для этого используем команду ping -n 1000 mail.donskaya.rudn.ru на хосте dk-donskaya-1, а разрыв соединения обеспечиваем переводом соответствующего интерфейса коммутатора в состояние shutdown (Рис. 1.7).</w:t>
      </w:r>
    </w:p>
    <w:p>
      <w:pPr>
        <w:pStyle w:val="CaptionedFigure"/>
      </w:pPr>
      <w:r>
        <w:drawing>
          <wp:inline>
            <wp:extent cx="5334000" cy="2373646"/>
            <wp:effectExtent b="0" l="0" r="0" t="0"/>
            <wp:docPr descr="Отказоустойчивость протокола STP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3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Отказоустойчивость протокола STP</w:t>
      </w:r>
    </w:p>
    <w:p>
      <w:pPr>
        <w:pStyle w:val="BodyText"/>
      </w:pPr>
      <w:r>
        <w:t xml:space="preserve">Переключаем коммутаторы режим работы по протоколу Rapid PVST+ (Рис. 1.8).</w:t>
      </w:r>
    </w:p>
    <w:p>
      <w:pPr>
        <w:pStyle w:val="CaptionedFigure"/>
      </w:pPr>
      <w:r>
        <w:drawing>
          <wp:inline>
            <wp:extent cx="5334000" cy="2146941"/>
            <wp:effectExtent b="0" l="0" r="0" t="0"/>
            <wp:docPr descr="Переключение коммутаторов на режим работы по протоколу Rapid PVST+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6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коммутаторов на режим работы по протоколу Rapid PVST+</w:t>
      </w:r>
    </w:p>
    <w:p>
      <w:pPr>
        <w:pStyle w:val="BodyText"/>
      </w:pPr>
      <w:r>
        <w:t xml:space="preserve">Изучаем отказоустойчивость протокола Rapid PVST+ и время восстановления соединения при переключении на резервное соединение (Рис. 1.9).</w:t>
      </w:r>
    </w:p>
    <w:p>
      <w:pPr>
        <w:pStyle w:val="CaptionedFigure"/>
      </w:pPr>
      <w:r>
        <w:drawing>
          <wp:inline>
            <wp:extent cx="3171625" cy="5499188"/>
            <wp:effectExtent b="0" l="0" r="0" t="0"/>
            <wp:docPr descr="Отказоустойчивость протокола Rapid PVST+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625" cy="549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Отказоустойчивость протокола Rapid PVST+</w:t>
      </w:r>
    </w:p>
    <w:p>
      <w:pPr>
        <w:pStyle w:val="BodyText"/>
      </w:pPr>
      <w:r>
        <w:t xml:space="preserve">Формируем агрегированное соединение интерфейсов Fa0/20 – Fa0/23 между коммутаторами msk-donskaya-sw-1 и msk-donskaya-sw-4 (Рис. 1.10).</w:t>
      </w:r>
    </w:p>
    <w:p>
      <w:pPr>
        <w:pStyle w:val="CaptionedFigure"/>
      </w:pPr>
      <w:r>
        <w:drawing>
          <wp:inline>
            <wp:extent cx="5334000" cy="2780650"/>
            <wp:effectExtent b="0" l="0" r="0" t="0"/>
            <wp:docPr descr="Логическая схема локальной сети с агрегированным соединением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Логическая схема локальной сети с агрегированным соединением</w:t>
      </w:r>
    </w:p>
    <w:p>
      <w:pPr>
        <w:pStyle w:val="BodyText"/>
      </w:pPr>
      <w:r>
        <w:t xml:space="preserve">Настраиваем агрегирование каналов (режим EtherChannel) (Рис. 1.11).</w:t>
      </w:r>
    </w:p>
    <w:p>
      <w:pPr>
        <w:pStyle w:val="CaptionedFigure"/>
      </w:pPr>
      <w:r>
        <w:drawing>
          <wp:inline>
            <wp:extent cx="5334000" cy="2537683"/>
            <wp:effectExtent b="0" l="0" r="0" t="0"/>
            <wp:docPr descr="Настройка агрегирования каналов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7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агрегирования каналов</w:t>
      </w:r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изучены возможности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55"/>
    <w:bookmarkStart w:id="56" w:name="список-литературы"/>
    <w:p>
      <w:pPr>
        <w:pStyle w:val="Heading1"/>
      </w:pPr>
      <w:r>
        <w:t xml:space="preserve">Список литературы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2026-06-18T15:12:12Z</dcterms:created>
  <dcterms:modified xsi:type="dcterms:W3CDTF">2026-06-18T15:12:12Z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onofont">
    <vt:lpwstr>Liberation Mono</vt:lpwstr>
  </property>
  <property fmtid="{D5CDD505-2E9C-101B-9397-08002B2CF9AE}" pid="58" name="monofontoptions">
    <vt:lpwstr>Scale=MatchLowercase,Scale=0.94,FakeStretch=0.9</vt:lpwstr>
  </property>
  <property fmtid="{D5CDD505-2E9C-101B-9397-08002B2CF9AE}" pid="59" name="nameInLink">
    <vt:lpwstr>False</vt:lpwstr>
  </property>
  <property fmtid="{D5CDD505-2E9C-101B-9397-08002B2CF9AE}" pid="60" name="numberSections">
    <vt:lpwstr>False</vt:lpwstr>
  </property>
  <property fmtid="{D5CDD505-2E9C-101B-9397-08002B2CF9AE}" pid="61" name="pairDelim">
    <vt:lpwstr>, </vt:lpwstr>
  </property>
  <property fmtid="{D5CDD505-2E9C-101B-9397-08002B2CF9AE}" pid="62" name="papersize">
    <vt:lpwstr>a4</vt:lpwstr>
  </property>
  <property fmtid="{D5CDD505-2E9C-101B-9397-08002B2CF9AE}" pid="63" name="polyglossia-lang">
    <vt:lpwstr/>
  </property>
  <property fmtid="{D5CDD505-2E9C-101B-9397-08002B2CF9AE}" pid="64" name="polyglossia-otherlangs">
    <vt:lpwstr/>
  </property>
  <property fmtid="{D5CDD505-2E9C-101B-9397-08002B2CF9AE}" pid="65" name="rangeDelim">
    <vt:lpwstr>-</vt:lpwstr>
  </property>
  <property fmtid="{D5CDD505-2E9C-101B-9397-08002B2CF9AE}" pid="66" name="refDelim">
    <vt:lpwstr>, </vt:lpwstr>
  </property>
  <property fmtid="{D5CDD505-2E9C-101B-9397-08002B2CF9AE}" pid="67" name="refIndexTemplate">
    <vt:lpwstr>isuf</vt:lpwstr>
  </property>
  <property fmtid="{D5CDD505-2E9C-101B-9397-08002B2CF9AE}" pid="68" name="romanfont">
    <vt:lpwstr>Liberation Serif</vt:lpwstr>
  </property>
  <property fmtid="{D5CDD505-2E9C-101B-9397-08002B2CF9AE}" pid="69" name="romanfontoptions">
    <vt:lpwstr>Ligatures=Common,Ligatures=TeX,Scale=0.94</vt:lpwstr>
  </property>
  <property fmtid="{D5CDD505-2E9C-101B-9397-08002B2CF9AE}" pid="70" name="sansfont">
    <vt:lpwstr>Liberation Sans</vt:lpwstr>
  </property>
  <property fmtid="{D5CDD505-2E9C-101B-9397-08002B2CF9AE}" pid="71" name="sansfontoptions">
    <vt:lpwstr>Ligatures=Common,Ligatures=TeX,Scale=MatchLowercase,Scale=0.94</vt:lpwstr>
  </property>
  <property fmtid="{D5CDD505-2E9C-101B-9397-08002B2CF9AE}" pid="72" name="secHeaderDelim">
    <vt:lpwstr> </vt:lpwstr>
  </property>
  <property fmtid="{D5CDD505-2E9C-101B-9397-08002B2CF9AE}" pid="73" name="secHeaderTemplate">
    <vt:lpwstr>isecHeaderDelim[n]t</vt:lpwstr>
  </property>
  <property fmtid="{D5CDD505-2E9C-101B-9397-08002B2CF9AE}" pid="74" name="secLabels">
    <vt:lpwstr>arabic</vt:lpwstr>
  </property>
  <property fmtid="{D5CDD505-2E9C-101B-9397-08002B2CF9AE}" pid="75" name="secPrefix">
    <vt:lpwstr/>
  </property>
  <property fmtid="{D5CDD505-2E9C-101B-9397-08002B2CF9AE}" pid="76" name="secPrefixTemplate">
    <vt:lpwstr>p i</vt:lpwstr>
  </property>
  <property fmtid="{D5CDD505-2E9C-101B-9397-08002B2CF9AE}" pid="77" name="sectionsDepth">
    <vt:lpwstr>0</vt:lpwstr>
  </property>
  <property fmtid="{D5CDD505-2E9C-101B-9397-08002B2CF9AE}" pid="78" name="subfigGrid">
    <vt:lpwstr>False</vt:lpwstr>
  </property>
  <property fmtid="{D5CDD505-2E9C-101B-9397-08002B2CF9AE}" pid="79" name="subfigLabels">
    <vt:lpwstr>alpha a</vt:lpwstr>
  </property>
  <property fmtid="{D5CDD505-2E9C-101B-9397-08002B2CF9AE}" pid="80" name="subfigureChildTemplate">
    <vt:lpwstr>i</vt:lpwstr>
  </property>
  <property fmtid="{D5CDD505-2E9C-101B-9397-08002B2CF9AE}" pid="81" name="subfigureRefIndexTemplate">
    <vt:lpwstr>isuf (s)</vt:lpwstr>
  </property>
  <property fmtid="{D5CDD505-2E9C-101B-9397-08002B2CF9AE}" pid="82" name="subfigureTemplate">
    <vt:lpwstr>figureTitle ititleDelim t. ccs</vt:lpwstr>
  </property>
  <property fmtid="{D5CDD505-2E9C-101B-9397-08002B2CF9AE}" pid="83" name="subtitle">
    <vt:lpwstr>Номер 9</vt:lpwstr>
  </property>
  <property fmtid="{D5CDD505-2E9C-101B-9397-08002B2CF9AE}" pid="84" name="tableEqns">
    <vt:lpwstr>False</vt:lpwstr>
  </property>
  <property fmtid="{D5CDD505-2E9C-101B-9397-08002B2CF9AE}" pid="85" name="tableTemplate">
    <vt:lpwstr>tableTitle ititleDelim t</vt:lpwstr>
  </property>
  <property fmtid="{D5CDD505-2E9C-101B-9397-08002B2CF9AE}" pid="86" name="tableTitle">
    <vt:lpwstr>Таблица</vt:lpwstr>
  </property>
  <property fmtid="{D5CDD505-2E9C-101B-9397-08002B2CF9AE}" pid="87" name="tblLabels">
    <vt:lpwstr>arabic</vt:lpwstr>
  </property>
  <property fmtid="{D5CDD505-2E9C-101B-9397-08002B2CF9AE}" pid="88" name="tblPrefix">
    <vt:lpwstr/>
  </property>
  <property fmtid="{D5CDD505-2E9C-101B-9397-08002B2CF9AE}" pid="89" name="tblPrefixTemplate">
    <vt:lpwstr>p i</vt:lpwstr>
  </property>
  <property fmtid="{D5CDD505-2E9C-101B-9397-08002B2CF9AE}" pid="90" name="titleDelim">
    <vt:lpwstr>:</vt:lpwstr>
  </property>
  <property fmtid="{D5CDD505-2E9C-101B-9397-08002B2CF9AE}" pid="91" name="toc">
    <vt:lpwstr>True</vt:lpwstr>
  </property>
  <property fmtid="{D5CDD505-2E9C-101B-9397-08002B2CF9AE}" pid="92" name="toc-depth">
    <vt:lpwstr>2</vt:lpwstr>
  </property>
  <property fmtid="{D5CDD505-2E9C-101B-9397-08002B2CF9AE}" pid="93" name="toc-title">
    <vt:lpwstr>Содержание</vt:lpwstr>
  </property>
</Properties>
</file>