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работы с физической рабочей областью Packet Tracer, с учетом физических параметров сети.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Открываем проект предыдущей лабораторной работы.</w:t>
      </w:r>
      <w:r>
        <w:t xml:space="preserve"> </w:t>
      </w:r>
      <w:r>
        <w:t xml:space="preserve">Переходим в физическую рабочую область Packet Tracer. Присваиваем название городу — Moscow (Рис. 1.1).</w:t>
      </w:r>
    </w:p>
    <w:p>
      <w:pPr>
        <w:pStyle w:val="CaptionedFigure"/>
      </w:pPr>
      <w:r>
        <w:drawing>
          <wp:inline>
            <wp:extent cx="5334000" cy="4912072"/>
            <wp:effectExtent b="0" l="0" r="0" t="0"/>
            <wp:docPr descr="Физическая рабочая область Packet Tracer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Физическая рабочая область Packet Tracer</w:t>
      </w:r>
    </w:p>
    <w:p>
      <w:pPr>
        <w:pStyle w:val="BodyText"/>
      </w:pPr>
      <w:r>
        <w:t xml:space="preserve">Щёлкнув на изображении города, видим изображение здания. Присваиваем ему название Donskaya. Добавляем здание для территории Pavlovskaya (Рис. 1.2).</w:t>
      </w:r>
    </w:p>
    <w:p>
      <w:pPr>
        <w:pStyle w:val="CaptionedFigure"/>
      </w:pPr>
      <w:r>
        <w:drawing>
          <wp:inline>
            <wp:extent cx="5334000" cy="3533467"/>
            <wp:effectExtent b="0" l="0" r="0" t="0"/>
            <wp:docPr descr="Изображение зданий в физической рабочей области Packet Tracer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Изображение зданий в физической рабочей области Packet Tracer</w:t>
      </w:r>
    </w:p>
    <w:p>
      <w:pPr>
        <w:pStyle w:val="BodyText"/>
      </w:pPr>
      <w:r>
        <w:t xml:space="preserve">Щёлкнув на изображении здания Donskaya, перемещаем изображение, обозначающее серверное помещение, в него (Рис. 1.3).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Пример размещения в физической рабочей области Packet Tracer серверной с подключением оконечных устройст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размещения в физической рабочей области Packet Tracer серверной с подключением оконечных устройств</w:t>
      </w:r>
    </w:p>
    <w:p>
      <w:pPr>
        <w:pStyle w:val="BodyText"/>
      </w:pPr>
      <w:r>
        <w:t xml:space="preserve">Щёлкнув на изображении серверной, видим отображение серверных стоек (Рис. 1.4).</w:t>
      </w:r>
    </w:p>
    <w:p>
      <w:pPr>
        <w:pStyle w:val="CaptionedFigure"/>
      </w:pPr>
      <w:r>
        <w:drawing>
          <wp:inline>
            <wp:extent cx="5115524" cy="7564581"/>
            <wp:effectExtent b="0" l="0" r="0" t="0"/>
            <wp:docPr descr="Отображение серверных стоек в Packet Tracer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24" cy="756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серверных стоек в Packet Tracer</w:t>
      </w:r>
    </w:p>
    <w:p>
      <w:pPr>
        <w:pStyle w:val="BodyText"/>
      </w:pPr>
      <w:r>
        <w:t xml:space="preserve">Перемещаем коммутатор msk-pavlovskaya-sw-1 и два оконечных устройства dk-pavlovskaya-1 и other-pavlovskaya-1 на территорию Pavlovskaya,</w:t>
      </w:r>
      <w:r>
        <w:t xml:space="preserve"> </w:t>
      </w:r>
      <w:r>
        <w:t xml:space="preserve">используя меню Move физической рабочей области Packet Tracer (Рис. 1.5).</w:t>
      </w:r>
    </w:p>
    <w:p>
      <w:pPr>
        <w:pStyle w:val="CaptionedFigure"/>
      </w:pPr>
      <w:r>
        <w:drawing>
          <wp:inline>
            <wp:extent cx="5334000" cy="2412473"/>
            <wp:effectExtent b="0" l="0" r="0" t="0"/>
            <wp:docPr descr="Территория Pavlovskaya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Территория Pavlovskaya</w:t>
      </w:r>
    </w:p>
    <w:p>
      <w:pPr>
        <w:pStyle w:val="BodyText"/>
      </w:pPr>
      <w:r>
        <w:t xml:space="preserve">Вернувшись в логическую рабочую область Packet Tracer, пингуем с коммутатора msk-donskaya-sw-1 коммутатор msk-pavlovskaya-sw-1. Убеждаемся в работоспособности соединения (Рис. 1.6).</w:t>
      </w:r>
    </w:p>
    <w:p>
      <w:pPr>
        <w:pStyle w:val="CaptionedFigure"/>
      </w:pPr>
      <w:r>
        <w:drawing>
          <wp:inline>
            <wp:extent cx="4706282" cy="844061"/>
            <wp:effectExtent b="0" l="0" r="0" t="0"/>
            <wp:docPr descr="Проверка работоспособности соединения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282" cy="84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соединения</w:t>
      </w:r>
    </w:p>
    <w:p>
      <w:pPr>
        <w:pStyle w:val="BodyText"/>
      </w:pPr>
      <w:r>
        <w:t xml:space="preserve">В меню Options , Preferences во вкладке Interface активируем разрешение на учёт физических характеристик среды передачи (Рис. 1.7).</w:t>
      </w:r>
    </w:p>
    <w:p>
      <w:pPr>
        <w:pStyle w:val="CaptionedFigure"/>
      </w:pPr>
      <w:r>
        <w:drawing>
          <wp:inline>
            <wp:extent cx="5334000" cy="1665033"/>
            <wp:effectExtent b="0" l="0" r="0" t="0"/>
            <wp:docPr descr="Активация разрешения на учет физических характеристик среды передачи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разрешения на учет физических характеристик среды передачи</w:t>
      </w:r>
    </w:p>
    <w:p>
      <w:pPr>
        <w:pStyle w:val="BodyText"/>
      </w:pPr>
      <w:r>
        <w:t xml:space="preserve">В физической рабочей области Packet Tracer размещаем две территории на расстоянии более 100 м друг от друга (Рис. 1.8).</w:t>
      </w:r>
    </w:p>
    <w:p>
      <w:pPr>
        <w:pStyle w:val="CaptionedFigure"/>
      </w:pPr>
      <w:r>
        <w:drawing>
          <wp:inline>
            <wp:extent cx="5334000" cy="3065971"/>
            <wp:effectExtent b="0" l="0" r="0" t="0"/>
            <wp:docPr descr="Размещение двух территорий на расстоянии более 100м друг от друг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двух территорий на расстоянии более 100м друг от друга</w:t>
      </w:r>
    </w:p>
    <w:p>
      <w:pPr>
        <w:pStyle w:val="BodyText"/>
      </w:pPr>
      <w:r>
        <w:t xml:space="preserve">Вернувшись в логическую рабочую область Packet Tracer, пингуем с коммутатора msk-donskaya-sw-1 коммутатор msk-pavlovskaya-sw-1. Убеждаемся в неработоспособности соединения (Рис. 1.9).</w:t>
      </w:r>
    </w:p>
    <w:p>
      <w:pPr>
        <w:pStyle w:val="CaptionedFigure"/>
      </w:pPr>
      <w:r>
        <w:drawing>
          <wp:inline>
            <wp:extent cx="4367379" cy="831272"/>
            <wp:effectExtent b="0" l="0" r="0" t="0"/>
            <wp:docPr descr="Проверка неработоспособности соединения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379" cy="83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неработоспособности соединения</w:t>
      </w:r>
    </w:p>
    <w:p>
      <w:pPr>
        <w:pStyle w:val="BodyText"/>
      </w:pPr>
      <w:r>
        <w:t xml:space="preserve">Удаляем соединение между msk-donskaya-sw-1 и msk-pavlovskaya-sw-1. Добавляем в логическую рабочую область два повторителя. Присваиваем им соответствующие названия msk-donskaya-mc-1 и msk-pavlovskaya-mc-1. Заменяем имеющиеся модули на PT-REPEATER-</w:t>
      </w:r>
      <w:r>
        <w:t xml:space="preserve"> </w:t>
      </w:r>
      <w:r>
        <w:t xml:space="preserve">NM-1FFE и PT-REPEATER-NM-1CFE для подключения оптоволокна и витой пары по технологии Fast Ethernet (Рис. 1.10).</w:t>
      </w:r>
    </w:p>
    <w:p>
      <w:pPr>
        <w:pStyle w:val="CaptionedFigure"/>
      </w:pPr>
      <w:r>
        <w:drawing>
          <wp:inline>
            <wp:extent cx="5334000" cy="2983148"/>
            <wp:effectExtent b="0" l="0" r="0" t="0"/>
            <wp:docPr descr="Добавление повторителей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повторителей</w:t>
      </w:r>
    </w:p>
    <w:p>
      <w:pPr>
        <w:pStyle w:val="BodyText"/>
      </w:pPr>
      <w:r>
        <w:t xml:space="preserve">Перемещаем msk-pavlovskaya-mc-1 на территорию Pavlovskaya (Рис. 1.11).</w:t>
      </w:r>
    </w:p>
    <w:p>
      <w:pPr>
        <w:pStyle w:val="CaptionedFigure"/>
      </w:pPr>
      <w:r>
        <w:drawing>
          <wp:inline>
            <wp:extent cx="5334000" cy="3408133"/>
            <wp:effectExtent b="0" l="0" r="0" t="0"/>
            <wp:docPr descr="Перемещение msk-pavlovskaya-mc-1 на территорию Pavlovskaya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msk-pavlovskaya-mc-1 на территорию Pavlovskaya</w:t>
      </w:r>
    </w:p>
    <w:p>
      <w:pPr>
        <w:pStyle w:val="BodyText"/>
      </w:pPr>
      <w:r>
        <w:t xml:space="preserve">Подключаем коммутатор msk-donskaya-sw-1 к msk-donskaya-mc-1 по витой паре, msk-donskaya-mc-1 и msk-pavlovskaya-mc-1 — по оптоволокну, msk-pavlovskaya-sw-1 к msk-pavlovskaya-mc-1 — по витой паре (Рис. 1.12).</w:t>
      </w:r>
    </w:p>
    <w:p>
      <w:pPr>
        <w:pStyle w:val="CaptionedFigure"/>
      </w:pPr>
      <w:r>
        <w:drawing>
          <wp:inline>
            <wp:extent cx="5334000" cy="3854267"/>
            <wp:effectExtent b="0" l="0" r="0" t="0"/>
            <wp:docPr descr="Подключение повторителей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повторителей</w:t>
      </w:r>
    </w:p>
    <w:p>
      <w:pPr>
        <w:pStyle w:val="BodyText"/>
      </w:pPr>
      <w:r>
        <w:t xml:space="preserve">Убеждаемся в работоспособности соединения между msk-donskaya-sw-1 и msk-pavlovskaya-sw-1 (Рис. 1.13).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работоспособности соединеия</w:t>
            </w:r>
          </w:p>
        </w:tc>
      </w:tr>
    </w:tbl>
    <w:p>
      <w:pPr>
        <w:pStyle w:val="ImageCaption"/>
      </w:pPr>
      <w:r>
        <w:t xml:space="preserve">Проверка работоспособности соединеия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работы с физической рабочей областью Packet Tracer, с учетом физических параметров сети.</w:t>
      </w:r>
    </w:p>
    <w:bookmarkEnd w:id="58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2026-03-28T15:52:32Z</dcterms:created>
  <dcterms:modified xsi:type="dcterms:W3CDTF">2026-03-28T15:52:32Z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7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