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png" ContentType="image/png"/>
  <Override PartName="/word/media/rId98.jpg" ContentType="image/jpeg"/>
  <Override PartName="/word/media/rId102.jpg" ContentType="image/jpeg"/>
  <Override PartName="/word/media/rId106.jpg" ContentType="image/jpeg"/>
  <Override PartName="/word/media/rId110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115.jpg" ContentType="image/jpeg"/>
  <Override PartName="/word/media/rId119.jpg" ContentType="image/jpeg"/>
  <Override PartName="/word/media/rId12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Кобзев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применение средств контроля версий.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Создание отчет по выполнению лабораторной работы в соответствующем каталоге рабочего пространства (labs&gt;lab02&gt;report)</w:t>
      </w:r>
    </w:p>
    <w:p>
      <w:pPr>
        <w:numPr>
          <w:ilvl w:val="0"/>
          <w:numId w:val="1001"/>
        </w:numPr>
      </w:pP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|</w:t>
      </w:r>
    </w:p>
    <w:p>
      <w:pPr>
        <w:pStyle w:val="FirstParagraph"/>
      </w:pPr>
      <w:r>
        <w:t xml:space="preserve">[1–6]</w:t>
      </w:r>
    </w:p>
    <w:p>
      <w:pPr>
        <w:pStyle w:val="BodyText"/>
      </w:pPr>
      <w:r>
        <w:t xml:space="preserve">Создаем учетную запись на сайте https://github.com/ и заполняем основные данные (рис. 1.1).</w:t>
      </w:r>
      <w:r>
        <w:t xml:space="preserve"> </w:t>
      </w:r>
      <w:bookmarkStart w:id="25" w:name="fig:001"/>
      <w:r>
        <w:drawing>
          <wp:inline>
            <wp:extent cx="3733800" cy="2915326"/>
            <wp:effectExtent b="0" l="0" r="0" t="0"/>
            <wp:docPr descr="Рис. 1.1: Учетная запись github." title="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Делаем предварительную конфигурацию git. Открываем терминал и вводим</w:t>
      </w:r>
      <w:r>
        <w:t xml:space="preserve"> </w:t>
      </w:r>
      <w:r>
        <w:t xml:space="preserve">следующие команды, указав имя и email владельца репозитория (рис. 1.2) .</w:t>
      </w:r>
      <w:r>
        <w:t xml:space="preserve"> </w:t>
      </w:r>
      <w:bookmarkStart w:id="29" w:name="fig:002"/>
      <w:r>
        <w:drawing>
          <wp:inline>
            <wp:extent cx="3733800" cy="239946"/>
            <wp:effectExtent b="0" l="0" r="0" t="0"/>
            <wp:docPr descr="Рис. 1.2: Команды, содержащие имя и email." title="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Настраиваем utf-8 в выводе сообщений git (рис. 1.3).</w:t>
      </w:r>
      <w:r>
        <w:t xml:space="preserve"> </w:t>
      </w:r>
      <w:bookmarkStart w:id="33" w:name="fig:003"/>
      <w:r>
        <w:drawing>
          <wp:inline>
            <wp:extent cx="3733800" cy="130408"/>
            <wp:effectExtent b="0" l="0" r="0" t="0"/>
            <wp:docPr descr="Рис. 1.3: Настройка utf-8 в выводе сообщений git." title="" id="31" name="Picture"/>
            <a:graphic>
              <a:graphicData uri="http://schemas.openxmlformats.org/drawingml/2006/picture">
                <pic:pic>
                  <pic:nvPicPr>
                    <pic:cNvPr descr="image/1.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Задаем имя начальной ветки(master) (рис. 1.4).</w:t>
      </w:r>
      <w:r>
        <w:t xml:space="preserve"> </w:t>
      </w:r>
      <w:bookmarkStart w:id="37" w:name="fig:004"/>
      <w:r>
        <w:drawing>
          <wp:inline>
            <wp:extent cx="3733800" cy="121476"/>
            <wp:effectExtent b="0" l="0" r="0" t="0"/>
            <wp:docPr descr="Рис. 1.4: Имя начальной ветки." title="" id="35" name="Picture"/>
            <a:graphic>
              <a:graphicData uri="http://schemas.openxmlformats.org/drawingml/2006/picture">
                <pic:pic>
                  <pic:nvPicPr>
                    <pic:cNvPr descr="image/1.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Задаем параметр autocrlf (рис. 1.5).</w:t>
      </w:r>
      <w:r>
        <w:t xml:space="preserve"> </w:t>
      </w:r>
      <w:bookmarkStart w:id="41" w:name="fig:005"/>
      <w:r>
        <w:drawing>
          <wp:inline>
            <wp:extent cx="3733800" cy="134360"/>
            <wp:effectExtent b="0" l="0" r="0" t="0"/>
            <wp:docPr descr="Рис. 1.5: Параметр autocrlf." title="" id="39" name="Picture"/>
            <a:graphic>
              <a:graphicData uri="http://schemas.openxmlformats.org/drawingml/2006/picture">
                <pic:pic>
                  <pic:nvPicPr>
                    <pic:cNvPr descr="image/1.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Задаем параметр safecrlf (рис. 1.6).</w:t>
      </w:r>
      <w:r>
        <w:t xml:space="preserve"> </w:t>
      </w:r>
      <w:bookmarkStart w:id="45" w:name="fig:006"/>
      <w:r>
        <w:drawing>
          <wp:inline>
            <wp:extent cx="3733800" cy="156762"/>
            <wp:effectExtent b="0" l="0" r="0" t="0"/>
            <wp:docPr descr="Рис. 1.6: Параметр safecrlf." title="" id="43" name="Picture"/>
            <a:graphic>
              <a:graphicData uri="http://schemas.openxmlformats.org/drawingml/2006/picture">
                <pic:pic>
                  <pic:nvPicPr>
                    <pic:cNvPr descr="image/1.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Генерируем пару ключей (приватный и открытый) (рис. 1.7).</w:t>
      </w:r>
      <w:r>
        <w:t xml:space="preserve"> </w:t>
      </w:r>
      <w:bookmarkStart w:id="49" w:name="fig:007"/>
      <w:r>
        <w:drawing>
          <wp:inline>
            <wp:extent cx="3733800" cy="2045068"/>
            <wp:effectExtent b="0" l="0" r="0" t="0"/>
            <wp:docPr descr="Рис. 1.7: Генерация ключей." title="" id="47" name="Picture"/>
            <a:graphic>
              <a:graphicData uri="http://schemas.openxmlformats.org/drawingml/2006/picture">
                <pic:pic>
                  <pic:nvPicPr>
                    <pic:cNvPr descr="image/1.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Копируем ключ из локальной сети в буфер обмена (рис. 1.8).</w:t>
      </w:r>
      <w:r>
        <w:t xml:space="preserve"> </w:t>
      </w:r>
      <w:bookmarkStart w:id="53" w:name="fig:008"/>
      <w:r>
        <w:drawing>
          <wp:inline>
            <wp:extent cx="3733800" cy="147943"/>
            <wp:effectExtent b="0" l="0" r="0" t="0"/>
            <wp:docPr descr="Рис. 1.8: Копирование ключа." title="" id="51" name="Picture"/>
            <a:graphic>
              <a:graphicData uri="http://schemas.openxmlformats.org/drawingml/2006/picture">
                <pic:pic>
                  <pic:nvPicPr>
                    <pic:cNvPr descr="image/1.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Загружаем сгенеренный открытый ключ (рис. 1.9).</w:t>
      </w:r>
      <w:r>
        <w:t xml:space="preserve"> </w:t>
      </w:r>
      <w:bookmarkStart w:id="57" w:name="fig:009"/>
      <w:r>
        <w:drawing>
          <wp:inline>
            <wp:extent cx="3733800" cy="991599"/>
            <wp:effectExtent b="0" l="0" r="0" t="0"/>
            <wp:docPr descr="Рис. 1.9: SSH ключ." title="" id="55" name="Picture"/>
            <a:graphic>
              <a:graphicData uri="http://schemas.openxmlformats.org/drawingml/2006/picture">
                <pic:pic>
                  <pic:nvPicPr>
                    <pic:cNvPr descr="image/1.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Открываем терминал и создаем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 1.10).</w:t>
      </w:r>
      <w:r>
        <w:t xml:space="preserve"> </w:t>
      </w:r>
      <w:bookmarkStart w:id="61" w:name="fig:010"/>
      <w:r>
        <w:drawing>
          <wp:inline>
            <wp:extent cx="3733800" cy="116162"/>
            <wp:effectExtent b="0" l="0" r="0" t="0"/>
            <wp:docPr descr="Рис. 1.10: Каталог для предмета “Архитектура компьтера”." title="" id="59" name="Picture"/>
            <a:graphic>
              <a:graphicData uri="http://schemas.openxmlformats.org/drawingml/2006/picture">
                <pic:pic>
                  <pic:nvPicPr>
                    <pic:cNvPr descr="image/1.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Создаем репозиторий на основе шаблона (рис. 1.11).</w:t>
      </w:r>
      <w:r>
        <w:t xml:space="preserve"> </w:t>
      </w:r>
      <w:bookmarkStart w:id="65" w:name="fig:011"/>
      <w:r>
        <w:drawing>
          <wp:inline>
            <wp:extent cx="3733800" cy="2730513"/>
            <wp:effectExtent b="0" l="0" r="0" t="0"/>
            <wp:docPr descr="Рис. 1.11: Репозиторий курса." title="" id="63" name="Picture"/>
            <a:graphic>
              <a:graphicData uri="http://schemas.openxmlformats.org/drawingml/2006/picture">
                <pic:pic>
                  <pic:nvPicPr>
                    <pic:cNvPr descr="image/1.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Открываем терминал и переходим в каталог курса (рис. 1.12).</w:t>
      </w:r>
      <w:r>
        <w:t xml:space="preserve"> </w:t>
      </w:r>
      <w:bookmarkStart w:id="69" w:name="fig:013"/>
      <w:r>
        <w:drawing>
          <wp:inline>
            <wp:extent cx="3733800" cy="216104"/>
            <wp:effectExtent b="0" l="0" r="0" t="0"/>
            <wp:docPr descr="Рис. 1.12: Каталог курса." title="" id="67" name="Picture"/>
            <a:graphic>
              <a:graphicData uri="http://schemas.openxmlformats.org/drawingml/2006/picture">
                <pic:pic>
                  <pic:nvPicPr>
                    <pic:cNvPr descr="image/1.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Клонируем созданный репозиторий (рис. 1.13).</w:t>
      </w:r>
      <w:r>
        <w:t xml:space="preserve"> </w:t>
      </w:r>
      <w:bookmarkStart w:id="73" w:name="fig:013"/>
      <w:r>
        <w:drawing>
          <wp:inline>
            <wp:extent cx="3733800" cy="3512652"/>
            <wp:effectExtent b="0" l="0" r="0" t="0"/>
            <wp:docPr descr="Рис. 1.13: Клонирование репозитория." title="" id="71" name="Picture"/>
            <a:graphic>
              <a:graphicData uri="http://schemas.openxmlformats.org/drawingml/2006/picture">
                <pic:pic>
                  <pic:nvPicPr>
                    <pic:cNvPr descr="image/1.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2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Переходим в каталог курса (рис. 1.14).</w:t>
      </w:r>
      <w:r>
        <w:t xml:space="preserve"> </w:t>
      </w:r>
      <w:bookmarkStart w:id="77" w:name="fig:014"/>
      <w:r>
        <w:drawing>
          <wp:inline>
            <wp:extent cx="3733800" cy="196515"/>
            <wp:effectExtent b="0" l="0" r="0" t="0"/>
            <wp:docPr descr="Рис. 1.14: Каталог курса." title="" id="75" name="Picture"/>
            <a:graphic>
              <a:graphicData uri="http://schemas.openxmlformats.org/drawingml/2006/picture">
                <pic:pic>
                  <pic:nvPicPr>
                    <pic:cNvPr descr="image/1.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Удаляем лишние файлы (рис. 1.15).</w:t>
      </w:r>
      <w:r>
        <w:t xml:space="preserve"> </w:t>
      </w:r>
      <w:bookmarkStart w:id="81" w:name="fig:015"/>
      <w:r>
        <w:drawing>
          <wp:inline>
            <wp:extent cx="3733800" cy="170895"/>
            <wp:effectExtent b="0" l="0" r="0" t="0"/>
            <wp:docPr descr="Рис. 1.15: Удаление лишних файлов." title="" id="79" name="Picture"/>
            <a:graphic>
              <a:graphicData uri="http://schemas.openxmlformats.org/drawingml/2006/picture">
                <pic:pic>
                  <pic:nvPicPr>
                    <pic:cNvPr descr="image/1.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Создаем необходимые каталоги (рис. 1.16).</w:t>
      </w:r>
      <w:r>
        <w:t xml:space="preserve"> </w:t>
      </w:r>
      <w:bookmarkStart w:id="85" w:name="fig:016"/>
      <w:r>
        <w:drawing>
          <wp:inline>
            <wp:extent cx="3733800" cy="263380"/>
            <wp:effectExtent b="0" l="0" r="0" t="0"/>
            <wp:docPr descr="Рис. 1.16: Создание необходимых каталогов." title="" id="83" name="Picture"/>
            <a:graphic>
              <a:graphicData uri="http://schemas.openxmlformats.org/drawingml/2006/picture">
                <pic:pic>
                  <pic:nvPicPr>
                    <pic:cNvPr descr="image/1.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r>
        <w:t xml:space="preserve">Отправляем файлы на сервер (рис. 1.17), (рис. 1.18), (рис. 1.19), (рис. 1.20), (рис. 1.21).</w:t>
      </w:r>
      <w:r>
        <w:t xml:space="preserve"> </w:t>
      </w:r>
      <w:bookmarkStart w:id="89" w:name="fig:017"/>
      <w:r>
        <w:drawing>
          <wp:inline>
            <wp:extent cx="3733800" cy="4588275"/>
            <wp:effectExtent b="0" l="0" r="0" t="0"/>
            <wp:docPr descr="Рис. 1.17: Отправление файлов на сервер." title="" id="87" name="Picture"/>
            <a:graphic>
              <a:graphicData uri="http://schemas.openxmlformats.org/drawingml/2006/picture">
                <pic:pic>
                  <pic:nvPicPr>
                    <pic:cNvPr descr="image/1.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 </w:t>
      </w:r>
      <w:bookmarkStart w:id="93" w:name="fig:018"/>
      <w:r>
        <w:drawing>
          <wp:inline>
            <wp:extent cx="3733800" cy="4553791"/>
            <wp:effectExtent b="0" l="0" r="0" t="0"/>
            <wp:docPr descr="Рис. 1.18: Отправление файлов на сервер." title="" id="91" name="Picture"/>
            <a:graphic>
              <a:graphicData uri="http://schemas.openxmlformats.org/drawingml/2006/picture">
                <pic:pic>
                  <pic:nvPicPr>
                    <pic:cNvPr descr="image/1.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 </w:t>
      </w:r>
      <w:bookmarkStart w:id="97" w:name="fig:019"/>
      <w:r>
        <w:drawing>
          <wp:inline>
            <wp:extent cx="3733800" cy="4561234"/>
            <wp:effectExtent b="0" l="0" r="0" t="0"/>
            <wp:docPr descr="Рис. 1.19: Отправление файлов на сервер." title="" id="95" name="Picture"/>
            <a:graphic>
              <a:graphicData uri="http://schemas.openxmlformats.org/drawingml/2006/picture">
                <pic:pic>
                  <pic:nvPicPr>
                    <pic:cNvPr descr="image/1.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1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 </w:t>
      </w:r>
      <w:bookmarkStart w:id="101" w:name="fig:020"/>
      <w:r>
        <w:drawing>
          <wp:inline>
            <wp:extent cx="3733800" cy="4542360"/>
            <wp:effectExtent b="0" l="0" r="0" t="0"/>
            <wp:docPr descr="Рис. 1.20: Отправление файлов на сервер." title="" id="99" name="Picture"/>
            <a:graphic>
              <a:graphicData uri="http://schemas.openxmlformats.org/drawingml/2006/picture">
                <pic:pic>
                  <pic:nvPicPr>
                    <pic:cNvPr descr="image/1.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 </w:t>
      </w:r>
      <w:bookmarkStart w:id="105" w:name="fig:021"/>
      <w:r>
        <w:drawing>
          <wp:inline>
            <wp:extent cx="3733800" cy="2815736"/>
            <wp:effectExtent b="0" l="0" r="0" t="0"/>
            <wp:docPr descr="Рис. 1.21: Отправление файлов на сервер." title="" id="103" name="Picture"/>
            <a:graphic>
              <a:graphicData uri="http://schemas.openxmlformats.org/drawingml/2006/picture">
                <pic:pic>
                  <pic:nvPicPr>
                    <pic:cNvPr descr="image/1.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BodyText"/>
      </w:pPr>
      <w:r>
        <w:t xml:space="preserve">Проверяем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 (рис. 1.22), (рис. 1.23).</w:t>
      </w:r>
      <w:r>
        <w:t xml:space="preserve"> </w:t>
      </w:r>
      <w:bookmarkStart w:id="109" w:name="fig:022"/>
      <w:r>
        <w:drawing>
          <wp:inline>
            <wp:extent cx="3733800" cy="328005"/>
            <wp:effectExtent b="0" l="0" r="0" t="0"/>
            <wp:docPr descr="Рис. 1.22: Локальный репозиторий." title="" id="107" name="Picture"/>
            <a:graphic>
              <a:graphicData uri="http://schemas.openxmlformats.org/drawingml/2006/picture">
                <pic:pic>
                  <pic:nvPicPr>
                    <pic:cNvPr descr="image/1.2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  <w:r>
        <w:t xml:space="preserve"> </w:t>
      </w:r>
      <w:bookmarkStart w:id="113" w:name="fig:023"/>
      <w:r>
        <w:drawing>
          <wp:inline>
            <wp:extent cx="3733800" cy="3582586"/>
            <wp:effectExtent b="0" l="0" r="0" t="0"/>
            <wp:docPr descr="Рис. 1.23: Репозиторий на github." title="" id="111" name="Picture"/>
            <a:graphic>
              <a:graphicData uri="http://schemas.openxmlformats.org/drawingml/2006/picture">
                <pic:pic>
                  <pic:nvPicPr>
                    <pic:cNvPr descr="image/1.2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2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bookmarkEnd w:id="114"/>
    <w:bookmarkStart w:id="127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Задание 1.</w:t>
      </w:r>
    </w:p>
    <w:p>
      <w:pPr>
        <w:pStyle w:val="BodyText"/>
      </w:pPr>
      <w:r>
        <w:t xml:space="preserve">Создаем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 (рис. 2.1).</w:t>
      </w:r>
      <w:r>
        <w:t xml:space="preserve"> </w:t>
      </w:r>
      <w:bookmarkStart w:id="118" w:name="fig:024"/>
      <w:r>
        <w:drawing>
          <wp:inline>
            <wp:extent cx="3733800" cy="480281"/>
            <wp:effectExtent b="0" l="0" r="0" t="0"/>
            <wp:docPr descr="Рис. 2.1: Отчет по выполнению лабораторной работы каталоге (labs&gt;lab02&gt;report)." title="" id="116" name="Picture"/>
            <a:graphic>
              <a:graphicData uri="http://schemas.openxmlformats.org/drawingml/2006/picture">
                <pic:pic>
                  <pic:nvPicPr>
                    <pic:cNvPr descr="image/2.1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BodyText"/>
      </w:pPr>
      <w:r>
        <w:t xml:space="preserve">Задание 2.</w:t>
      </w:r>
    </w:p>
    <w:p>
      <w:pPr>
        <w:pStyle w:val="BodyText"/>
      </w:pPr>
      <w:r>
        <w:t xml:space="preserve">Копируем отчеты по выполнению предыдущих лабораторных работ в соответствующие каталоги созданного рабочего пространства (рис. 2.2).</w:t>
      </w:r>
      <w:r>
        <w:t xml:space="preserve"> </w:t>
      </w:r>
      <w:bookmarkStart w:id="122" w:name="fig:025"/>
      <w:r>
        <w:drawing>
          <wp:inline>
            <wp:extent cx="3733800" cy="458989"/>
            <wp:effectExtent b="0" l="0" r="0" t="0"/>
            <wp:docPr descr="Рис. 2.2: Отчет по выполнению 1 лабораторной работы каталоге (labs&gt;lab01&gt;report)." title="" id="120" name="Picture"/>
            <a:graphic>
              <a:graphicData uri="http://schemas.openxmlformats.org/drawingml/2006/picture">
                <pic:pic>
                  <pic:nvPicPr>
                    <pic:cNvPr descr="image/2.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BodyText"/>
      </w:pPr>
      <w:r>
        <w:t xml:space="preserve">Задание 3.</w:t>
      </w:r>
    </w:p>
    <w:p>
      <w:pPr>
        <w:pStyle w:val="BodyText"/>
      </w:pPr>
      <w:r>
        <w:t xml:space="preserve">Загружаем файлы на github (рис. 2.3).</w:t>
      </w:r>
      <w:r>
        <w:t xml:space="preserve"> </w:t>
      </w:r>
      <w:bookmarkStart w:id="126" w:name="fig:026"/>
      <w:r>
        <w:drawing>
          <wp:inline>
            <wp:extent cx="3733800" cy="1887643"/>
            <wp:effectExtent b="0" l="0" r="0" t="0"/>
            <wp:docPr descr="Рис. 2.3: Загрузка файлов на github." title="" id="124" name="Picture"/>
            <a:graphic>
              <a:graphicData uri="http://schemas.openxmlformats.org/drawingml/2006/picture">
                <pic:pic>
                  <pic:nvPicPr>
                    <pic:cNvPr descr="image/2.3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мною были изучены идеология и применение средств контроля версий. Приобретены практические навыки по работе с системой git.</w:t>
      </w:r>
    </w:p>
    <w:bookmarkEnd w:id="128"/>
    <w:bookmarkStart w:id="139" w:name="список-литературы"/>
    <w:p>
      <w:pPr>
        <w:pStyle w:val="Heading1"/>
      </w:pPr>
      <w:r>
        <w:t xml:space="preserve">Список литературы</w:t>
      </w:r>
    </w:p>
    <w:bookmarkStart w:id="138" w:name="refs"/>
    <w:bookmarkStart w:id="130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29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30"/>
    <w:bookmarkStart w:id="132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3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32"/>
    <w:bookmarkStart w:id="133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33"/>
    <w:bookmarkStart w:id="135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34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35"/>
    <w:bookmarkStart w:id="136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36"/>
    <w:bookmarkStart w:id="137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37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pn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hyperlink" Id="rId131" Target="http://www.amazon.com/Learning-bash-Shell-Programming-Nutshell/dp/0596009658" TargetMode="External" /><Relationship Type="http://schemas.openxmlformats.org/officeDocument/2006/relationships/hyperlink" Id="rId129" Target="https://www.gnu.org/software/bash/manual/" TargetMode="External" /><Relationship Type="http://schemas.openxmlformats.org/officeDocument/2006/relationships/hyperlink" Id="rId134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1" Target="http://www.amazon.com/Learning-bash-Shell-Programming-Nutshell/dp/0596009658" TargetMode="External" /><Relationship Type="http://schemas.openxmlformats.org/officeDocument/2006/relationships/hyperlink" Id="rId129" Target="https://www.gnu.org/software/bash/manual/" TargetMode="External" /><Relationship Type="http://schemas.openxmlformats.org/officeDocument/2006/relationships/hyperlink" Id="rId134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Дмитрий Константинович Кобзев</dc:creator>
  <dc:language>ru-RU</dc:language>
  <cp:keywords/>
  <dcterms:created xsi:type="dcterms:W3CDTF">2023-10-20T18:57:59Z</dcterms:created>
  <dcterms:modified xsi:type="dcterms:W3CDTF">2023-10-20T18:57:59Z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