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настройки межсетевого экрана в Linux в части переадресации портов и настройки Masquerading.</w:t>
      </w:r>
    </w:p>
    <w:bookmarkEnd w:id="20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виртуальной машине server переходим в режим суперпользователя.</w:t>
      </w:r>
      <w:r>
        <w:t xml:space="preserve"> </w:t>
      </w:r>
      <w:r>
        <w:t xml:space="preserve">На основе существующего файла описания службы ssh создаем файл с собственным описанием.</w:t>
      </w:r>
      <w:r>
        <w:t xml:space="preserve"> </w:t>
      </w:r>
      <w:r>
        <w:t xml:space="preserve">Смотрим содержимое файла службы (Рис. 12.1).</w:t>
      </w:r>
    </w:p>
    <w:p>
      <w:pPr>
        <w:pStyle w:val="CaptionedFigure"/>
      </w:pPr>
      <w:r>
        <w:drawing>
          <wp:inline>
            <wp:extent cx="5334000" cy="1351850"/>
            <wp:effectExtent b="0" l="0" r="0" t="0"/>
            <wp:docPr descr="Создание пользовательской службы firewalld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пользовательской службы firewalld</w:t>
      </w:r>
    </w:p>
    <w:p>
      <w:pPr>
        <w:pStyle w:val="BodyText"/>
      </w:pPr>
      <w:r>
        <w:t xml:space="preserve">Открываем файл описания службы на редактирование и заменяем порт 22 на новый порт (2022) (Рис. 12.2).</w:t>
      </w:r>
    </w:p>
    <w:p>
      <w:pPr>
        <w:pStyle w:val="CaptionedFigure"/>
      </w:pPr>
      <w:r>
        <w:drawing>
          <wp:inline>
            <wp:extent cx="5334000" cy="799489"/>
            <wp:effectExtent b="0" l="0" r="0" t="0"/>
            <wp:docPr descr="Файл ssh-custom.xml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9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ssh-custom.xml</w:t>
      </w:r>
    </w:p>
    <w:p>
      <w:pPr>
        <w:pStyle w:val="BodyText"/>
      </w:pPr>
      <w:r>
        <w:t xml:space="preserve">Смотрим список доступных FirewallD служб.</w:t>
      </w:r>
      <w:r>
        <w:t xml:space="preserve"> </w:t>
      </w:r>
      <w:r>
        <w:t xml:space="preserve">Перегружаем правила межсетевого экрана с сохранением информации о состоянии и вновь выводим на экран список служб, а также список активных служб (Рис. 12.3).</w:t>
      </w:r>
    </w:p>
    <w:p>
      <w:pPr>
        <w:pStyle w:val="CaptionedFigure"/>
      </w:pPr>
      <w:r>
        <w:drawing>
          <wp:inline>
            <wp:extent cx="5334000" cy="5285064"/>
            <wp:effectExtent b="0" l="0" r="0" t="0"/>
            <wp:docPr descr="FirewallD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5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FirewallD</w:t>
      </w:r>
    </w:p>
    <w:p>
      <w:pPr>
        <w:pStyle w:val="BodyText"/>
      </w:pPr>
      <w:r>
        <w:t xml:space="preserve">Добавляем новую службу в FirewallD и выводим на экран список активных служб.</w:t>
      </w:r>
      <w:r>
        <w:t xml:space="preserve"> </w:t>
      </w:r>
      <w:r>
        <w:t xml:space="preserve">Перегружаем правила межсетевого экрана с сохранением информации о состоянии.</w:t>
      </w:r>
      <w:r>
        <w:t xml:space="preserve"> </w:t>
      </w:r>
      <w:r>
        <w:t xml:space="preserve">Организовываем на сервере переадресацию с порта 2022 на порт 22 (Рис. 12.4).</w:t>
      </w:r>
    </w:p>
    <w:p>
      <w:pPr>
        <w:pStyle w:val="CaptionedFigure"/>
      </w:pPr>
      <w:r>
        <w:drawing>
          <wp:inline>
            <wp:extent cx="4488872" cy="1067865"/>
            <wp:effectExtent b="0" l="0" r="0" t="0"/>
            <wp:docPr descr="Новая служба FirewallD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72" cy="106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Новая служба FirewallD</w:t>
      </w:r>
    </w:p>
    <w:p>
      <w:pPr>
        <w:pStyle w:val="BodyText"/>
      </w:pPr>
      <w:r>
        <w:t xml:space="preserve">На клиенте пробуем получить доступ по SSH к серверу через порт 2022 (Рис. 12.5).</w:t>
      </w:r>
    </w:p>
    <w:p>
      <w:pPr>
        <w:pStyle w:val="CaptionedFigure"/>
      </w:pPr>
      <w:r>
        <w:drawing>
          <wp:inline>
            <wp:extent cx="3606444" cy="1330036"/>
            <wp:effectExtent b="0" l="0" r="0" t="0"/>
            <wp:docPr descr="Попытка получить доступ по SSH к серверу через порт 2022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444" cy="133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получить доступ по SSH к серверу через порт 2022</w:t>
      </w:r>
    </w:p>
    <w:p>
      <w:pPr>
        <w:pStyle w:val="BodyText"/>
      </w:pPr>
      <w:r>
        <w:t xml:space="preserve">На сервере смотрим, активирована ли в ядре системы возможность перенаправления IPv4-пакетов пакетов.</w:t>
      </w:r>
      <w:r>
        <w:t xml:space="preserve"> </w:t>
      </w:r>
      <w:r>
        <w:t xml:space="preserve">Включаем перенаправление IPv4-пакетов на сервере.</w:t>
      </w:r>
      <w:r>
        <w:t xml:space="preserve"> </w:t>
      </w:r>
      <w:r>
        <w:t xml:space="preserve">Включаем маскарадинг на сервере (Рис. 12.6).</w:t>
      </w:r>
    </w:p>
    <w:p>
      <w:pPr>
        <w:pStyle w:val="CaptionedFigure"/>
      </w:pPr>
      <w:r>
        <w:drawing>
          <wp:inline>
            <wp:extent cx="4488872" cy="4028475"/>
            <wp:effectExtent b="0" l="0" r="0" t="0"/>
            <wp:docPr descr="Настройка Port Forwarding и Masquerading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72" cy="402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Port Forwarding и Masquerading</w:t>
      </w:r>
    </w:p>
    <w:p>
      <w:pPr>
        <w:pStyle w:val="BodyText"/>
      </w:pPr>
      <w:r>
        <w:t xml:space="preserve">На виртуальной машине server переходим в каталог для внесения изменений в настройки внутреннего окружения /vagrant/provision/server/, создаем в нём каталог firewall, в который помещаем в соответствующие подкаталоги конфигурационные файлы FirewallD.</w:t>
      </w:r>
      <w:r>
        <w:t xml:space="preserve"> </w:t>
      </w:r>
      <w:r>
        <w:t xml:space="preserve">В каталоге /vagrant/provision/server создаем файл firewall.sh (Рис. 12.7).</w:t>
      </w:r>
    </w:p>
    <w:p>
      <w:pPr>
        <w:pStyle w:val="CaptionedFigure"/>
      </w:pPr>
      <w:r>
        <w:drawing>
          <wp:inline>
            <wp:extent cx="5334000" cy="958645"/>
            <wp:effectExtent b="0" l="0" r="0" t="0"/>
            <wp:docPr descr="Внесение изменений в настройки внутреннего окружения виртуальной машины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8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Прописываем скрипт в firewall.sh (Рис. 12.8).</w:t>
      </w:r>
    </w:p>
    <w:p>
      <w:pPr>
        <w:pStyle w:val="CaptionedFigure"/>
      </w:pPr>
      <w:r>
        <w:drawing>
          <wp:inline>
            <wp:extent cx="3446584" cy="1106232"/>
            <wp:effectExtent b="0" l="0" r="0" t="0"/>
            <wp:docPr descr="Файл firewall.sh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584" cy="110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firewall.sh</w:t>
      </w:r>
    </w:p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добавляем в разделе конфигурации для сервер (Рис. 12.9).</w:t>
      </w:r>
    </w:p>
    <w:p>
      <w:pPr>
        <w:pStyle w:val="CaptionedFigure"/>
      </w:pPr>
      <w:r>
        <w:drawing>
          <wp:inline>
            <wp:extent cx="3862220" cy="6055502"/>
            <wp:effectExtent b="0" l="0" r="0" t="0"/>
            <wp:docPr descr="Vagrantfile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220" cy="6055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получены навыки настройки межсетевого экрана в Linux в части переадресации портов и настройки Masquerading.</w:t>
      </w:r>
    </w:p>
    <w:bookmarkEnd w:id="49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2025-12-05T14:25:24Z</dcterms:created>
  <dcterms:modified xsi:type="dcterms:W3CDTF">2025-12-05T14:25:24Z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onofont">
    <vt:lpwstr>Liberation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Liberation Serif</vt:lpwstr>
  </property>
  <property fmtid="{D5CDD505-2E9C-101B-9397-08002B2CF9AE}" pid="70" name="romanfontoptions">
    <vt:lpwstr>Ligatures=Common,Ligatures=TeX,Scale=0.94</vt:lpwstr>
  </property>
  <property fmtid="{D5CDD505-2E9C-101B-9397-08002B2CF9AE}" pid="71" name="sansfont">
    <vt:lpwstr>Liberation Sans</vt:lpwstr>
  </property>
  <property fmtid="{D5CDD505-2E9C-101B-9397-08002B2CF9AE}" pid="72" name="sansfontoptions">
    <vt:lpwstr>Ligatures=Common,Ligatures=TeX,Scale=MatchLowercase,Scale=0.94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Номер 7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