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14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доступа групп пользователей к общим ресурсам по протоколу SMB.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устанавливаем необходимые пакеты.</w:t>
      </w:r>
      <w:r>
        <w:t xml:space="preserve"> </w:t>
      </w:r>
      <w:r>
        <w:t xml:space="preserve">Создаем группу sambagroup для пользователей, которые будут работать с Samba-сервером, и присваиваем ей GID 1010.</w:t>
      </w:r>
      <w:r>
        <w:t xml:space="preserve"> </w:t>
      </w:r>
      <w:r>
        <w:t xml:space="preserve">Добавляем пользователя user к группе sambagroup.</w:t>
      </w:r>
      <w:r>
        <w:t xml:space="preserve"> </w:t>
      </w:r>
      <w:r>
        <w:t xml:space="preserve">Создаем общий каталог в файловой системе Linux, в который предполагается монтировать разделяемые ресурсы (Рис. 12.1).</w:t>
      </w:r>
    </w:p>
    <w:p>
      <w:pPr>
        <w:pStyle w:val="CaptionedFigure"/>
      </w:pPr>
      <w:r>
        <w:drawing>
          <wp:inline>
            <wp:extent cx="5334000" cy="5483495"/>
            <wp:effectExtent b="0" l="0" r="0" t="0"/>
            <wp:docPr descr="Настройка сервера Samb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Samba</w:t>
      </w:r>
    </w:p>
    <w:p>
      <w:pPr>
        <w:pStyle w:val="BodyText"/>
      </w:pPr>
      <w:r>
        <w:t xml:space="preserve">В файле конфигурации /etc/samba/smb.conf изменяем параметр рабочей группы и в конце файла добавляем раздел с описанием общего доступа к разделяемому ресурсу /srv/sambashare (Рис. 12.2).</w:t>
      </w:r>
    </w:p>
    <w:p>
      <w:pPr>
        <w:pStyle w:val="CaptionedFigure"/>
      </w:pPr>
      <w:r>
        <w:drawing>
          <wp:inline>
            <wp:extent cx="3600050" cy="5416061"/>
            <wp:effectExtent b="0" l="0" r="0" t="0"/>
            <wp:docPr descr="Файл конфигурации /etc/samba/smb.conf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50" cy="541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/etc/samba/smb.conf</w:t>
      </w:r>
    </w:p>
    <w:p>
      <w:pPr>
        <w:pStyle w:val="BodyText"/>
      </w:pPr>
      <w:r>
        <w:t xml:space="preserve">Убеждаемся, что я не сделал синтаксических ошибок в файле smb.conf (Рис. 12.3).</w:t>
      </w:r>
    </w:p>
    <w:p>
      <w:pPr>
        <w:pStyle w:val="CaptionedFigure"/>
      </w:pPr>
      <w:r>
        <w:drawing>
          <wp:inline>
            <wp:extent cx="3312302" cy="728962"/>
            <wp:effectExtent b="0" l="0" r="0" t="0"/>
            <wp:docPr descr="Проверка файла smb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302" cy="7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 smb.conf</w:t>
      </w:r>
    </w:p>
    <w:p>
      <w:pPr>
        <w:pStyle w:val="BodyText"/>
      </w:pPr>
      <w:r>
        <w:t xml:space="preserve">Запускаем демон Samba и смотрим его статус.</w:t>
      </w:r>
      <w:r>
        <w:t xml:space="preserve"> </w:t>
      </w:r>
      <w:r>
        <w:t xml:space="preserve">Для проверки наличия общего доступа пробуем подключиться к серверу с помощью smbclient (Рис. 12.4).</w:t>
      </w:r>
    </w:p>
    <w:p>
      <w:pPr>
        <w:pStyle w:val="CaptionedFigure"/>
      </w:pPr>
      <w:r>
        <w:drawing>
          <wp:inline>
            <wp:extent cx="5179468" cy="3516923"/>
            <wp:effectExtent b="0" l="0" r="0" t="0"/>
            <wp:docPr descr="Демон Samba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35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 Samba</w:t>
      </w:r>
    </w:p>
    <w:p>
      <w:pPr>
        <w:pStyle w:val="BodyText"/>
      </w:pPr>
      <w:r>
        <w:t xml:space="preserve">Смотрим файл конфигурации межсетевого экрана для Samba (Рис. 12.5).</w:t>
      </w:r>
    </w:p>
    <w:p>
      <w:pPr>
        <w:pStyle w:val="CaptionedFigure"/>
      </w:pPr>
      <w:r>
        <w:drawing>
          <wp:inline>
            <wp:extent cx="5334000" cy="1038161"/>
            <wp:effectExtent b="0" l="0" r="0" t="0"/>
            <wp:docPr descr="файл конфигурации межсетевого экрана для Samba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межсетевого экрана для Samba</w:t>
      </w:r>
    </w:p>
    <w:p>
      <w:pPr>
        <w:pStyle w:val="BodyText"/>
      </w:pPr>
      <w:r>
        <w:t xml:space="preserve">Настраиваем межсетевой экран.</w:t>
      </w:r>
      <w:r>
        <w:t xml:space="preserve"> </w:t>
      </w:r>
      <w:r>
        <w:t xml:space="preserve">Настраиваем права доступа для каталога с разделяемым ресурсом.</w:t>
      </w:r>
      <w:r>
        <w:t xml:space="preserve"> </w:t>
      </w:r>
      <w:r>
        <w:t xml:space="preserve">Смотрим контекст безопасности SELinux.</w:t>
      </w:r>
      <w:r>
        <w:t xml:space="preserve"> </w:t>
      </w:r>
      <w:r>
        <w:t xml:space="preserve">Настраиваем контекст безопасности SELinux для каталога с разделяемым ресурсом.</w:t>
      </w:r>
      <w:r>
        <w:t xml:space="preserve"> </w:t>
      </w:r>
      <w:r>
        <w:t xml:space="preserve">Проверяем, что контекст безопасности изменился.</w:t>
      </w:r>
      <w:r>
        <w:t xml:space="preserve"> </w:t>
      </w:r>
      <w:r>
        <w:t xml:space="preserve">Разрешаем экспортировать разделяемые ресурсы для чтения и записи.</w:t>
      </w:r>
      <w:r>
        <w:t xml:space="preserve"> </w:t>
      </w:r>
      <w:r>
        <w:t xml:space="preserve">Смотрим UID пользователя и в какие группы он включён.</w:t>
      </w:r>
      <w:r>
        <w:t xml:space="preserve"> </w:t>
      </w:r>
      <w:r>
        <w:t xml:space="preserve">Добавляем пользователя user в базу пользователей Samba (Рис. 12.6).</w:t>
      </w:r>
    </w:p>
    <w:p>
      <w:pPr>
        <w:pStyle w:val="CaptionedFigure"/>
      </w:pPr>
      <w:r>
        <w:drawing>
          <wp:inline>
            <wp:extent cx="4642338" cy="3497739"/>
            <wp:effectExtent b="0" l="0" r="0" t="0"/>
            <wp:docPr descr="Настройка сервера Samba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38" cy="349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Samba</w:t>
      </w:r>
    </w:p>
    <w:p>
      <w:pPr>
        <w:pStyle w:val="BodyText"/>
      </w:pPr>
      <w:r>
        <w:t xml:space="preserve">На клиенте смотрим файл конфигурации межсетевого экрана для клиента Samba (Рис. 12.7).</w:t>
      </w:r>
    </w:p>
    <w:p>
      <w:pPr>
        <w:pStyle w:val="CaptionedFigure"/>
      </w:pPr>
      <w:r>
        <w:drawing>
          <wp:inline>
            <wp:extent cx="5334000" cy="1004864"/>
            <wp:effectExtent b="0" l="0" r="0" t="0"/>
            <wp:docPr descr="Файл конфигурации межсетевого экрана для клиента Samba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межсетевого экрана для клиента Samba</w:t>
      </w:r>
    </w:p>
    <w:p>
      <w:pPr>
        <w:pStyle w:val="BodyText"/>
      </w:pPr>
      <w:r>
        <w:t xml:space="preserve">На клиенте настраиваем межсетевой экран.</w:t>
      </w:r>
      <w:r>
        <w:t xml:space="preserve"> </w:t>
      </w:r>
      <w:r>
        <w:t xml:space="preserve">На клиенте создаем группу sambagroup и добавляем в неё пользователя user (Рис. 12.8).</w:t>
      </w:r>
    </w:p>
    <w:p>
      <w:pPr>
        <w:pStyle w:val="CaptionedFigure"/>
      </w:pPr>
      <w:r>
        <w:drawing>
          <wp:inline>
            <wp:extent cx="3721544" cy="850455"/>
            <wp:effectExtent b="0" l="0" r="0" t="0"/>
            <wp:docPr descr="Монтирование файловой системы Samba на клиент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85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файловой системы Samba на клиенте</w:t>
      </w:r>
    </w:p>
    <w:p>
      <w:pPr>
        <w:pStyle w:val="BodyText"/>
      </w:pPr>
      <w:r>
        <w:t xml:space="preserve">На клиенте в файле конфигурации /etc/samba/smb.conf измените параметр рабочей группы (Рис. 12.9).</w:t>
      </w:r>
    </w:p>
    <w:p>
      <w:pPr>
        <w:pStyle w:val="CaptionedFigure"/>
      </w:pPr>
      <w:r>
        <w:drawing>
          <wp:inline>
            <wp:extent cx="3312302" cy="1368402"/>
            <wp:effectExtent b="0" l="0" r="0" t="0"/>
            <wp:docPr descr="Файл конфигурации /etc/samba/smb.conf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302" cy="136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/etc/samba/smb.conf</w:t>
      </w:r>
    </w:p>
    <w:p>
      <w:pPr>
        <w:pStyle w:val="BodyText"/>
      </w:pPr>
      <w:r>
        <w:t xml:space="preserve">Подключаемся с клиента к серверу с помощью smbclient под учётной записью моего пользователя (Рис. 12.10).</w:t>
      </w:r>
    </w:p>
    <w:p>
      <w:pPr>
        <w:pStyle w:val="CaptionedFigure"/>
      </w:pPr>
      <w:r>
        <w:drawing>
          <wp:inline>
            <wp:extent cx="3094892" cy="1106232"/>
            <wp:effectExtent b="0" l="0" r="0" t="0"/>
            <wp:docPr descr="Подключение с клиента к серверу с помощью smbclient под учётной записью моего пользовател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110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с клиента к серверу с помощью smbclient под учётной записью моего пользователя</w:t>
      </w:r>
    </w:p>
    <w:p>
      <w:pPr>
        <w:pStyle w:val="BodyText"/>
      </w:pPr>
      <w:r>
        <w:t xml:space="preserve">На клиенте создаем точку монтирования.</w:t>
      </w:r>
      <w:r>
        <w:t xml:space="preserve"> </w:t>
      </w:r>
      <w:r>
        <w:t xml:space="preserve">На клиенте получаем доступ к общему ресурсу с помощью mount.</w:t>
      </w:r>
      <w:r>
        <w:t xml:space="preserve"> </w:t>
      </w:r>
      <w:r>
        <w:t xml:space="preserve">Отмонтируем каталог /mnt/samba (Рис. 12.11).</w:t>
      </w:r>
    </w:p>
    <w:p>
      <w:pPr>
        <w:pStyle w:val="CaptionedFigure"/>
      </w:pPr>
      <w:r>
        <w:drawing>
          <wp:inline>
            <wp:extent cx="5334000" cy="530901"/>
            <wp:effectExtent b="0" l="0" r="0" t="0"/>
            <wp:docPr descr="Монтирование /mnt/samba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/mnt/samba</w:t>
      </w:r>
    </w:p>
    <w:p>
      <w:pPr>
        <w:pStyle w:val="BodyText"/>
      </w:pPr>
      <w:r>
        <w:t xml:space="preserve">Убеждаемся, что user может записывать файлы на разделяемом ресурсе (Рис. 12.12).</w:t>
      </w:r>
    </w:p>
    <w:p>
      <w:pPr>
        <w:pStyle w:val="CaptionedFigure"/>
      </w:pPr>
      <w:r>
        <w:drawing>
          <wp:inline>
            <wp:extent cx="2928637" cy="249381"/>
            <wp:effectExtent b="0" l="0" r="0" t="0"/>
            <wp:docPr descr="Монтирование файловой системы Samba на клиент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37" cy="24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файловой системы Samba на клиенте</w:t>
      </w:r>
    </w:p>
    <w:p>
      <w:pPr>
        <w:pStyle w:val="BodyText"/>
      </w:pPr>
      <w:r>
        <w:t xml:space="preserve">На клиенте создаем файл smbusers в каталоге /etc/samba/ (Рис. 12.13).</w:t>
      </w:r>
    </w:p>
    <w:p>
      <w:pPr>
        <w:pStyle w:val="CaptionedFigure"/>
      </w:pPr>
      <w:r>
        <w:drawing>
          <wp:inline>
            <wp:extent cx="3267541" cy="390058"/>
            <wp:effectExtent b="0" l="0" r="0" t="0"/>
            <wp:docPr descr="Файл smbusers в каталоге /etc/samba/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541" cy="3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smbusers в каталоге /etc/samba/</w:t>
      </w:r>
    </w:p>
    <w:p>
      <w:pPr>
        <w:pStyle w:val="BodyText"/>
      </w:pPr>
      <w:r>
        <w:t xml:space="preserve">На клиенте в файле /etc/fstab добавляем следующую строку: //server/sambashare /mnt/samba cifs user,rw,uid=user_name,gid=sambagroup, credentials=/etc/samba/smbusers,_netdev 0 0.</w:t>
      </w:r>
      <w:r>
        <w:t xml:space="preserve"> </w:t>
      </w:r>
      <w:r>
        <w:t xml:space="preserve">Подмонтируем общий ресурс (Рис. 12.14).</w:t>
      </w:r>
    </w:p>
    <w:p>
      <w:pPr>
        <w:pStyle w:val="CaptionedFigure"/>
      </w:pPr>
      <w:r>
        <w:drawing>
          <wp:inline>
            <wp:extent cx="5281779" cy="2711227"/>
            <wp:effectExtent b="0" l="0" r="0" t="0"/>
            <wp:docPr descr="Файл /etc/fstab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779" cy="271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/etc/fstab</w:t>
      </w:r>
    </w:p>
    <w:p>
      <w:pPr>
        <w:pStyle w:val="BodyText"/>
      </w:pPr>
      <w:r>
        <w:t xml:space="preserve">На виртуальной машине server переходим в каталог для внесения изменений в настройки внутреннего окружения /vagrant/provision/server/, создаем в нём каталог smb, в который помещаем в соответствующие подкаталоги конфигурационные файлы.</w:t>
      </w:r>
      <w:r>
        <w:t xml:space="preserve"> </w:t>
      </w:r>
      <w:r>
        <w:t xml:space="preserve">В каталоге /vagrant/provision/server создаем файл smb.sh (Рис. 12.15).</w:t>
      </w:r>
    </w:p>
    <w:p>
      <w:pPr>
        <w:pStyle w:val="CaptionedFigure"/>
      </w:pPr>
      <w:r>
        <w:drawing>
          <wp:inline>
            <wp:extent cx="4552816" cy="671412"/>
            <wp:effectExtent b="0" l="0" r="0" t="0"/>
            <wp:docPr descr="Внесение изменений в настройки внутреннего окружения виртуальной машин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16" cy="67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Прописываем скрипт в smb.sh (Рис. 12.16).</w:t>
      </w:r>
    </w:p>
    <w:p>
      <w:pPr>
        <w:pStyle w:val="CaptionedFigure"/>
      </w:pPr>
      <w:r>
        <w:drawing>
          <wp:inline>
            <wp:extent cx="3139653" cy="3376246"/>
            <wp:effectExtent b="0" l="0" r="0" t="0"/>
            <wp:docPr descr="Файл smb.sh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653" cy="337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smb.sh</w:t>
      </w:r>
    </w:p>
    <w:p>
      <w:pPr>
        <w:pStyle w:val="BodyText"/>
      </w:pPr>
      <w:r>
        <w:t xml:space="preserve">На виртуальной машине client переходим в каталог для внесения изменений в настройки внутреннего окружения /vagrant/provision/client/, создаем в нём каталог smb, в который помещаем в соответствующие подкаталоги конфигурационные файлы.</w:t>
      </w:r>
      <w:r>
        <w:t xml:space="preserve"> </w:t>
      </w:r>
      <w:r>
        <w:t xml:space="preserve">В каталоге /vagrant/provision/client создаем файл smb.sh (Рис. 12.17).</w:t>
      </w:r>
    </w:p>
    <w:p>
      <w:pPr>
        <w:pStyle w:val="CaptionedFigure"/>
      </w:pPr>
      <w:r>
        <w:drawing>
          <wp:inline>
            <wp:extent cx="4751043" cy="1176570"/>
            <wp:effectExtent b="0" l="0" r="0" t="0"/>
            <wp:docPr descr="Внесение изменений в настройки внутреннего окружения виртуальной машины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43" cy="117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Прописываем скрипт в smb.sh (Рис. 12.18).</w:t>
      </w:r>
    </w:p>
    <w:p>
      <w:pPr>
        <w:pStyle w:val="CaptionedFigure"/>
      </w:pPr>
      <w:r>
        <w:drawing>
          <wp:inline>
            <wp:extent cx="5334000" cy="2421722"/>
            <wp:effectExtent b="0" l="0" r="0" t="0"/>
            <wp:docPr descr="Файл smb.sh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smb.sh</w:t>
      </w:r>
    </w:p>
    <w:p>
      <w:pPr>
        <w:pStyle w:val="BodyText"/>
      </w:pPr>
      <w:r>
        <w:t xml:space="preserve">Для отработки созданного скрипта во время загрузки виртуальных машин server и client в конфигурационном файле Vagrantfile добавляем в разделе конфигурации для сервера и клиент (Рис. 12.19), (Рис. 12.20).</w:t>
      </w:r>
    </w:p>
    <w:p>
      <w:pPr>
        <w:pStyle w:val="CaptionedFigure"/>
      </w:pPr>
      <w:r>
        <w:drawing>
          <wp:inline>
            <wp:extent cx="3478556" cy="4904509"/>
            <wp:effectExtent b="0" l="0" r="0" t="0"/>
            <wp:docPr descr="Vagrantfile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56" cy="4904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p>
      <w:pPr>
        <w:pStyle w:val="CaptionedFigure"/>
      </w:pPr>
      <w:r>
        <w:drawing>
          <wp:inline>
            <wp:extent cx="3504134" cy="6068290"/>
            <wp:effectExtent b="0" l="0" r="0" t="0"/>
            <wp:docPr descr="Vagrantfile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134" cy="606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приобретены навыки настройки доступа групп пользователей к общим ресурсам по протоколу SMB.</w:t>
      </w:r>
    </w:p>
    <w:bookmarkEnd w:id="82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2025-12-06T14:20:39Z</dcterms:created>
  <dcterms:modified xsi:type="dcterms:W3CDTF">2025-12-06T14:20:39Z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14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