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</w:p>
    <w:p>
      <w:pPr>
        <w:pStyle w:val="Subtitle"/>
      </w:pPr>
      <w:r>
        <w:t xml:space="preserve">Номер</w:t>
      </w:r>
      <w:r>
        <w:t xml:space="preserve"> </w:t>
      </w:r>
      <w:r>
        <w:t xml:space="preserve">12</w:t>
      </w:r>
    </w:p>
    <w:p>
      <w:pPr>
        <w:pStyle w:val="Author"/>
      </w:pPr>
      <w:r>
        <w:t xml:space="preserve">Кобзев</w:t>
      </w:r>
      <w:r>
        <w:t xml:space="preserve"> </w:t>
      </w:r>
      <w:r>
        <w:t xml:space="preserve">Д.</w:t>
      </w:r>
      <w:r>
        <w:t xml:space="preserve"> </w:t>
      </w:r>
      <w:r>
        <w:t xml:space="preserve">К.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получение навыков по управлению системным временем и настройке синхронизации времени.</w:t>
      </w:r>
    </w:p>
    <w:bookmarkEnd w:id="20"/>
    <w:bookmarkStart w:id="66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На сервере смотрим параметры настройки даты и времени и текущее системное время (Рис. 12.1).</w:t>
      </w:r>
    </w:p>
    <w:p>
      <w:pPr>
        <w:pStyle w:val="CaptionedFigure"/>
      </w:pPr>
      <w:r>
        <w:drawing>
          <wp:inline>
            <wp:extent cx="2679255" cy="1195753"/>
            <wp:effectExtent b="0" l="0" r="0" t="0"/>
            <wp:docPr descr="Настройки даты и времени на сервере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255" cy="1195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даты и времени на сервере</w:t>
      </w:r>
    </w:p>
    <w:p>
      <w:pPr>
        <w:pStyle w:val="BodyText"/>
      </w:pPr>
      <w:r>
        <w:t xml:space="preserve">На клиенте смотрим параметры настройки даты и времени и текущее системное время (Рис. 12.2).</w:t>
      </w:r>
    </w:p>
    <w:p>
      <w:pPr>
        <w:pStyle w:val="CaptionedFigure"/>
      </w:pPr>
      <w:r>
        <w:drawing>
          <wp:inline>
            <wp:extent cx="2679255" cy="1227725"/>
            <wp:effectExtent b="0" l="0" r="0" t="0"/>
            <wp:docPr descr="Настройки даты и времени на клиенте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255" cy="1227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даты и времени на клиенте</w:t>
      </w:r>
    </w:p>
    <w:p>
      <w:pPr>
        <w:pStyle w:val="BodyText"/>
      </w:pPr>
      <w:r>
        <w:t xml:space="preserve">Проверяем источники времени на клиенте и на сервере (Рис. 12.3), (Рис. 12.4).</w:t>
      </w:r>
    </w:p>
    <w:p>
      <w:pPr>
        <w:pStyle w:val="CaptionedFigure"/>
      </w:pPr>
      <w:r>
        <w:drawing>
          <wp:inline>
            <wp:extent cx="3881404" cy="837667"/>
            <wp:effectExtent b="0" l="0" r="0" t="0"/>
            <wp:docPr descr="Источники времени на сервере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404" cy="837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Источники времени на сервере</w:t>
      </w:r>
    </w:p>
    <w:p>
      <w:pPr>
        <w:pStyle w:val="CaptionedFigure"/>
      </w:pPr>
      <w:r>
        <w:drawing>
          <wp:inline>
            <wp:extent cx="3932559" cy="799300"/>
            <wp:effectExtent b="0" l="0" r="0" t="0"/>
            <wp:docPr descr="Источники времени на клиенте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2559" cy="79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Источники времени на клиенте</w:t>
      </w:r>
    </w:p>
    <w:p>
      <w:pPr>
        <w:pStyle w:val="BodyText"/>
      </w:pPr>
      <w:r>
        <w:t xml:space="preserve">На сервере открываем на редактирование файл /etc/chrony.conf и добавляем строку:</w:t>
      </w:r>
      <w:r>
        <w:t xml:space="preserve"> </w:t>
      </w:r>
      <w:r>
        <w:t xml:space="preserve">allow 192.168.0.0/16 (Рис. 12.5).</w:t>
      </w:r>
    </w:p>
    <w:p>
      <w:pPr>
        <w:pStyle w:val="CaptionedFigure"/>
      </w:pPr>
      <w:r>
        <w:drawing>
          <wp:inline>
            <wp:extent cx="2877482" cy="3478556"/>
            <wp:effectExtent b="0" l="0" r="0" t="0"/>
            <wp:docPr descr="Файл /etc/chrony.conf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482" cy="3478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/etc/chrony.conf</w:t>
      </w:r>
    </w:p>
    <w:p>
      <w:pPr>
        <w:pStyle w:val="BodyText"/>
      </w:pPr>
      <w:r>
        <w:t xml:space="preserve">На сервере перезапускаем службу chronyd.</w:t>
      </w:r>
    </w:p>
    <w:p>
      <w:pPr>
        <w:pStyle w:val="BodyText"/>
      </w:pPr>
      <w:r>
        <w:t xml:space="preserve">Настраиваем межсетевой экран на сервере (Рис. 12.6).</w:t>
      </w:r>
    </w:p>
    <w:p>
      <w:pPr>
        <w:pStyle w:val="CaptionedFigure"/>
      </w:pPr>
      <w:r>
        <w:drawing>
          <wp:inline>
            <wp:extent cx="3580867" cy="601074"/>
            <wp:effectExtent b="0" l="0" r="0" t="0"/>
            <wp:docPr descr="Настройка межсетевого экрана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867" cy="601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межсетевого экрана</w:t>
      </w:r>
    </w:p>
    <w:p>
      <w:pPr>
        <w:pStyle w:val="BodyText"/>
      </w:pPr>
      <w:r>
        <w:t xml:space="preserve">На клиенте открываем файл /etc/chrony.conf и добавляем строку: server server.user.net iburst (Рис. 12.7).</w:t>
      </w:r>
    </w:p>
    <w:p>
      <w:pPr>
        <w:pStyle w:val="CaptionedFigure"/>
      </w:pPr>
      <w:r>
        <w:drawing>
          <wp:inline>
            <wp:extent cx="2743200" cy="6368827"/>
            <wp:effectExtent b="0" l="0" r="0" t="0"/>
            <wp:docPr descr="Файл /etc/chrony.conf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6368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/etc/chrony.conf</w:t>
      </w:r>
    </w:p>
    <w:p>
      <w:pPr>
        <w:pStyle w:val="BodyText"/>
      </w:pPr>
      <w:r>
        <w:t xml:space="preserve">На клиенте перезапускаем службу chronyd.</w:t>
      </w:r>
    </w:p>
    <w:p>
      <w:pPr>
        <w:pStyle w:val="BodyText"/>
      </w:pPr>
      <w:r>
        <w:t xml:space="preserve">Проверяем источники времени на клиенте и на сервере (Рис. 12.8), (Рис. 12.9).</w:t>
      </w:r>
    </w:p>
    <w:p>
      <w:pPr>
        <w:pStyle w:val="CaptionedFigure"/>
      </w:pPr>
      <w:r>
        <w:drawing>
          <wp:inline>
            <wp:extent cx="3977320" cy="1080654"/>
            <wp:effectExtent b="0" l="0" r="0" t="0"/>
            <wp:docPr descr="Источники времени на клиенте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320" cy="1080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Источники времени на клиенте</w:t>
      </w:r>
    </w:p>
    <w:p>
      <w:pPr>
        <w:pStyle w:val="CaptionedFigure"/>
      </w:pPr>
      <w:r>
        <w:drawing>
          <wp:inline>
            <wp:extent cx="3958137" cy="1342825"/>
            <wp:effectExtent b="0" l="0" r="0" t="0"/>
            <wp:docPr descr="Источники времени на сервере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137" cy="1342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Источники времени на сервере</w:t>
      </w:r>
    </w:p>
    <w:p>
      <w:pPr>
        <w:pStyle w:val="BodyText"/>
      </w:pPr>
      <w:r>
        <w:t xml:space="preserve">На виртуальной машине server переходим в каталог для внесения изменений в настройки внутреннего окружения /vagrant/provision/server/, создаем в нём каталог ntp, в который помещаем в соответствующие подкаталоги конфигурационные файлы.</w:t>
      </w:r>
    </w:p>
    <w:p>
      <w:pPr>
        <w:pStyle w:val="BodyText"/>
      </w:pPr>
      <w:r>
        <w:t xml:space="preserve">В каталоге /vagrant/provision/server создаем исполняемый файл ntp.sh (Рис. 12.10).</w:t>
      </w:r>
    </w:p>
    <w:p>
      <w:pPr>
        <w:pStyle w:val="CaptionedFigure"/>
      </w:pPr>
      <w:r>
        <w:drawing>
          <wp:inline>
            <wp:extent cx="4540027" cy="735356"/>
            <wp:effectExtent b="0" l="0" r="0" t="0"/>
            <wp:docPr descr="/vagrant/provision/server/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027" cy="735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/vagrant/provision/server/</w:t>
      </w:r>
    </w:p>
    <w:p>
      <w:pPr>
        <w:pStyle w:val="BodyText"/>
      </w:pPr>
      <w:r>
        <w:t xml:space="preserve">Редактируем файл ntp.sh (Рис. 12.11).</w:t>
      </w:r>
    </w:p>
    <w:p>
      <w:pPr>
        <w:pStyle w:val="CaptionedFigure"/>
      </w:pPr>
      <w:r>
        <w:drawing>
          <wp:inline>
            <wp:extent cx="2640889" cy="1822405"/>
            <wp:effectExtent b="0" l="0" r="0" t="0"/>
            <wp:docPr descr="Файл ntp.sh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889" cy="1822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ntp.sh</w:t>
      </w:r>
    </w:p>
    <w:p>
      <w:pPr>
        <w:pStyle w:val="BodyText"/>
      </w:pPr>
      <w:r>
        <w:t xml:space="preserve">На виртуальной машине client переходим в каталог для внесения изменений в настройки внутреннего окружения /vagrant/provision/client/, создаем в нём каталог ntp, в который помещаем в соответствующие подкаталоги конфигурационные файлы.</w:t>
      </w:r>
    </w:p>
    <w:p>
      <w:pPr>
        <w:pStyle w:val="BodyText"/>
      </w:pPr>
      <w:r>
        <w:t xml:space="preserve">В каталоге /vagrant/provision/client создаем исполняемый файл ntp.sh (Рис. 12.12).</w:t>
      </w:r>
    </w:p>
    <w:p>
      <w:pPr>
        <w:pStyle w:val="CaptionedFigure"/>
      </w:pPr>
      <w:r>
        <w:drawing>
          <wp:inline>
            <wp:extent cx="4424928" cy="818483"/>
            <wp:effectExtent b="0" l="0" r="0" t="0"/>
            <wp:docPr descr="/vagrant/provision/client/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928" cy="818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/vagrant/provision/client/</w:t>
      </w:r>
    </w:p>
    <w:p>
      <w:pPr>
        <w:pStyle w:val="BodyText"/>
      </w:pPr>
      <w:r>
        <w:t xml:space="preserve">Редактируем файл ntp.sh (Рис. 12.13).</w:t>
      </w:r>
    </w:p>
    <w:p>
      <w:pPr>
        <w:pStyle w:val="CaptionedFigure"/>
      </w:pPr>
      <w:r>
        <w:drawing>
          <wp:inline>
            <wp:extent cx="2493818" cy="1240514"/>
            <wp:effectExtent b="0" l="0" r="0" t="0"/>
            <wp:docPr descr="Файл ntp.sh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818" cy="1240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ntp.sh</w:t>
      </w:r>
    </w:p>
    <w:p>
      <w:pPr>
        <w:pStyle w:val="BodyText"/>
      </w:pPr>
      <w:r>
        <w:t xml:space="preserve">Для отработки созданных скриптов во время загрузки виртуальных машин server</w:t>
      </w:r>
      <w:r>
        <w:t xml:space="preserve"> </w:t>
      </w:r>
      <w:r>
        <w:t xml:space="preserve">и client в конфигурационном файле Vagrantfile добавляем в соответствующих разделах конфигураций для сервера и клиента (Рис. 12.14), (Рис. 12.15).</w:t>
      </w:r>
    </w:p>
    <w:p>
      <w:pPr>
        <w:pStyle w:val="CaptionedFigure"/>
      </w:pPr>
      <w:r>
        <w:drawing>
          <wp:inline>
            <wp:extent cx="3791882" cy="5524766"/>
            <wp:effectExtent b="0" l="0" r="0" t="0"/>
            <wp:docPr descr="Конфигурации для сервера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882" cy="5524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Конфигурации для сервера</w:t>
      </w:r>
    </w:p>
    <w:p>
      <w:pPr>
        <w:pStyle w:val="CaptionedFigure"/>
      </w:pPr>
      <w:r>
        <w:drawing>
          <wp:inline>
            <wp:extent cx="3791882" cy="6483927"/>
            <wp:effectExtent b="0" l="0" r="0" t="0"/>
            <wp:docPr descr="Конфигурации для клиента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882" cy="6483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Конфигурации для клиента</w:t>
      </w:r>
    </w:p>
    <w:bookmarkEnd w:id="66"/>
    <w:bookmarkStart w:id="67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мною были получены навыки по управлению системным временем и настройке синхронизации времени.</w:t>
      </w:r>
    </w:p>
    <w:bookmarkEnd w:id="67"/>
    <w:bookmarkStart w:id="68" w:name="список-литературы"/>
    <w:p>
      <w:pPr>
        <w:pStyle w:val="Heading1"/>
      </w:pPr>
      <w:r>
        <w:t xml:space="preserve">Список литературы</w:t>
      </w:r>
    </w:p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</dc:title>
  <dc:creator>Кобзев Д. К.</dc:creator>
  <dc:language>ru-RU</dc:language>
  <cp:keywords/>
  <dcterms:created xsi:type="dcterms:W3CDTF">2025-11-22T14:00:08Z</dcterms:created>
  <dcterms:modified xsi:type="dcterms:W3CDTF">2025-11-22T14:00:08Z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iography">
    <vt:lpwstr>bib/cite.bib</vt:lpwstr>
  </property>
  <property fmtid="{D5CDD505-2E9C-101B-9397-08002B2CF9AE}" pid="7" name="ccsDelim">
    <vt:lpwstr>, </vt:lpwstr>
  </property>
  <property fmtid="{D5CDD505-2E9C-101B-9397-08002B2CF9AE}" pid="8" name="ccsLabelSep">
    <vt:lpwstr> — </vt:lpwstr>
  </property>
  <property fmtid="{D5CDD505-2E9C-101B-9397-08002B2CF9AE}" pid="9" name="ccsTemplate">
    <vt:lpwstr>iccsLabelSept</vt:lpwstr>
  </property>
  <property fmtid="{D5CDD505-2E9C-101B-9397-08002B2CF9AE}" pid="10" name="chapDelim">
    <vt:lpwstr>.</vt:lpwstr>
  </property>
  <property fmtid="{D5CDD505-2E9C-101B-9397-08002B2CF9AE}" pid="11" name="chapters">
    <vt:lpwstr>False</vt:lpwstr>
  </property>
  <property fmtid="{D5CDD505-2E9C-101B-9397-08002B2CF9AE}" pid="12" name="chaptersDepth">
    <vt:lpwstr>1</vt:lpwstr>
  </property>
  <property fmtid="{D5CDD505-2E9C-101B-9397-08002B2CF9AE}" pid="13" name="codeBlockCaptions">
    <vt:lpwstr>False</vt:lpwstr>
  </property>
  <property fmtid="{D5CDD505-2E9C-101B-9397-08002B2CF9AE}" pid="14" name="cref">
    <vt:lpwstr>False</vt:lpwstr>
  </property>
  <property fmtid="{D5CDD505-2E9C-101B-9397-08002B2CF9AE}" pid="15" name="crossrefYaml">
    <vt:lpwstr>pandoc-crossref.yaml</vt:lpwstr>
  </property>
  <property fmtid="{D5CDD505-2E9C-101B-9397-08002B2CF9AE}" pid="16" name="csl">
    <vt:lpwstr>/home/dkkobzev/pandoc/csl/gost-r-7-0-5-2008-numeric.csl</vt:lpwstr>
  </property>
  <property fmtid="{D5CDD505-2E9C-101B-9397-08002B2CF9AE}" pid="17" name="documentclass">
    <vt:lpwstr>scrreprt</vt:lpwstr>
  </property>
  <property fmtid="{D5CDD505-2E9C-101B-9397-08002B2CF9AE}" pid="18" name="eqLabels">
    <vt:lpwstr>arabic</vt:lpwstr>
  </property>
  <property fmtid="{D5CDD505-2E9C-101B-9397-08002B2CF9AE}" pid="19" name="eqnBlockInlineMath">
    <vt:lpwstr>False</vt:lpwstr>
  </property>
  <property fmtid="{D5CDD505-2E9C-101B-9397-08002B2CF9AE}" pid="20" name="eqnBlockTemplate">
    <vt:lpwstr>ti</vt:lpwstr>
  </property>
  <property fmtid="{D5CDD505-2E9C-101B-9397-08002B2CF9AE}" pid="21" name="eqnIndexTemplate">
    <vt:lpwstr>(i)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Рис.</vt:lpwstr>
  </property>
  <property fmtid="{D5CDD505-2E9C-101B-9397-08002B2CF9AE}" pid="31" name="fontsize">
    <vt:lpwstr>12pt</vt:lpwstr>
  </property>
  <property fmtid="{D5CDD505-2E9C-101B-9397-08002B2CF9AE}" pid="32" name="header-includes">
    <vt:lpwstr/>
  </property>
  <property fmtid="{D5CDD505-2E9C-101B-9397-08002B2CF9AE}" pid="33" name="indent">
    <vt:lpwstr>True</vt:lpwstr>
  </property>
  <property fmtid="{D5CDD505-2E9C-101B-9397-08002B2CF9AE}" pid="34" name="lastDelim">
    <vt:lpwstr>, </vt:lpwstr>
  </property>
  <property fmtid="{D5CDD505-2E9C-101B-9397-08002B2CF9AE}" pid="35" name="linestretch">
    <vt:lpwstr>1.5</vt:lpwstr>
  </property>
  <property fmtid="{D5CDD505-2E9C-101B-9397-08002B2CF9AE}" pid="36" name="linkReferences">
    <vt:lpwstr>False</vt:lpwstr>
  </property>
  <property fmtid="{D5CDD505-2E9C-101B-9397-08002B2CF9AE}" pid="37" name="listItemTitleDelim">
    <vt:lpwstr>.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Листинг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ItemTemplate">
    <vt:lpwstr>lofItemTitleilistItemTitleDelimt </vt:lpwstr>
  </property>
  <property fmtid="{D5CDD505-2E9C-101B-9397-08002B2CF9AE}" pid="43" name="lofItemTitle">
    <vt:lpwstr/>
  </property>
  <property fmtid="{D5CDD505-2E9C-101B-9397-08002B2CF9AE}" pid="44" name="lofTitle">
    <vt:lpwstr>Список иллюстраций</vt:lpwstr>
  </property>
  <property fmtid="{D5CDD505-2E9C-101B-9397-08002B2CF9AE}" pid="45" name="lolItemTemplate">
    <vt:lpwstr>lolItemTitleilistItemTitleDelimt </vt:lpwstr>
  </property>
  <property fmtid="{D5CDD505-2E9C-101B-9397-08002B2CF9AE}" pid="46" name="lolItemTitle">
    <vt:lpwstr/>
  </property>
  <property fmtid="{D5CDD505-2E9C-101B-9397-08002B2CF9AE}" pid="47" name="lolTitle">
    <vt:lpwstr>Листинги</vt:lpwstr>
  </property>
  <property fmtid="{D5CDD505-2E9C-101B-9397-08002B2CF9AE}" pid="48" name="lot">
    <vt:lpwstr>True</vt:lpwstr>
  </property>
  <property fmtid="{D5CDD505-2E9C-101B-9397-08002B2CF9AE}" pid="49" name="lotItemTemplate">
    <vt:lpwstr>lotItemTitleilistItemTitleDelimt </vt:lpwstr>
  </property>
  <property fmtid="{D5CDD505-2E9C-101B-9397-08002B2CF9AE}" pid="50" name="lotItemTitle">
    <vt:lpwstr/>
  </property>
  <property fmtid="{D5CDD505-2E9C-101B-9397-08002B2CF9AE}" pid="51" name="lotTitle">
    <vt:lpwstr>Список таблиц</vt:lpwstr>
  </property>
  <property fmtid="{D5CDD505-2E9C-101B-9397-08002B2CF9AE}" pid="52" name="lstLabels">
    <vt:lpwstr>arabic</vt:lpwstr>
  </property>
  <property fmtid="{D5CDD505-2E9C-101B-9397-08002B2CF9AE}" pid="53" name="lstPrefix">
    <vt:lpwstr/>
  </property>
  <property fmtid="{D5CDD505-2E9C-101B-9397-08002B2CF9AE}" pid="54" name="lstPrefixTemplate">
    <vt:lpwstr>p i</vt:lpwstr>
  </property>
  <property fmtid="{D5CDD505-2E9C-101B-9397-08002B2CF9AE}" pid="55" name="mainfont">
    <vt:lpwstr>Liberation Serif</vt:lpwstr>
  </property>
  <property fmtid="{D5CDD505-2E9C-101B-9397-08002B2CF9AE}" pid="56" name="mainfontoptions">
    <vt:lpwstr>Ligatures=Common,Ligatures=TeX,Scale=0.94</vt:lpwstr>
  </property>
  <property fmtid="{D5CDD505-2E9C-101B-9397-08002B2CF9AE}" pid="57" name="mathfont">
    <vt:lpwstr>STIX Two Math</vt:lpwstr>
  </property>
  <property fmtid="{D5CDD505-2E9C-101B-9397-08002B2CF9AE}" pid="58" name="monofont">
    <vt:lpwstr>Liberation Mono</vt:lpwstr>
  </property>
  <property fmtid="{D5CDD505-2E9C-101B-9397-08002B2CF9AE}" pid="59" name="monofontoptions">
    <vt:lpwstr>Scale=MatchLowercase,Scale=0.94,FakeStretch=0.9</vt:lpwstr>
  </property>
  <property fmtid="{D5CDD505-2E9C-101B-9397-08002B2CF9AE}" pid="60" name="nameInLink">
    <vt:lpwstr>False</vt:lpwstr>
  </property>
  <property fmtid="{D5CDD505-2E9C-101B-9397-08002B2CF9AE}" pid="61" name="numberSections">
    <vt:lpwstr>False</vt:lpwstr>
  </property>
  <property fmtid="{D5CDD505-2E9C-101B-9397-08002B2CF9AE}" pid="62" name="pairDelim">
    <vt:lpwstr>, </vt:lpwstr>
  </property>
  <property fmtid="{D5CDD505-2E9C-101B-9397-08002B2CF9AE}" pid="63" name="papersize">
    <vt:lpwstr>a4</vt:lpwstr>
  </property>
  <property fmtid="{D5CDD505-2E9C-101B-9397-08002B2CF9AE}" pid="64" name="polyglossia-lang">
    <vt:lpwstr/>
  </property>
  <property fmtid="{D5CDD505-2E9C-101B-9397-08002B2CF9AE}" pid="65" name="polyglossia-otherlangs">
    <vt:lpwstr/>
  </property>
  <property fmtid="{D5CDD505-2E9C-101B-9397-08002B2CF9AE}" pid="66" name="rangeDelim">
    <vt:lpwstr>-</vt:lpwstr>
  </property>
  <property fmtid="{D5CDD505-2E9C-101B-9397-08002B2CF9AE}" pid="67" name="refDelim">
    <vt:lpwstr>, </vt:lpwstr>
  </property>
  <property fmtid="{D5CDD505-2E9C-101B-9397-08002B2CF9AE}" pid="68" name="refIndexTemplate">
    <vt:lpwstr>isuf</vt:lpwstr>
  </property>
  <property fmtid="{D5CDD505-2E9C-101B-9397-08002B2CF9AE}" pid="69" name="romanfont">
    <vt:lpwstr>Liberation Serif</vt:lpwstr>
  </property>
  <property fmtid="{D5CDD505-2E9C-101B-9397-08002B2CF9AE}" pid="70" name="romanfontoptions">
    <vt:lpwstr>Ligatures=Common,Ligatures=TeX,Scale=0.94</vt:lpwstr>
  </property>
  <property fmtid="{D5CDD505-2E9C-101B-9397-08002B2CF9AE}" pid="71" name="sansfont">
    <vt:lpwstr>Liberation Sans</vt:lpwstr>
  </property>
  <property fmtid="{D5CDD505-2E9C-101B-9397-08002B2CF9AE}" pid="72" name="sansfontoptions">
    <vt:lpwstr>Ligatures=Common,Ligatures=TeX,Scale=MatchLowercase,Scale=0.94</vt:lpwstr>
  </property>
  <property fmtid="{D5CDD505-2E9C-101B-9397-08002B2CF9AE}" pid="73" name="secHeaderDelim">
    <vt:lpwstr> </vt:lpwstr>
  </property>
  <property fmtid="{D5CDD505-2E9C-101B-9397-08002B2CF9AE}" pid="74" name="secHeaderTemplate">
    <vt:lpwstr>isecHeaderDelim[n]t</vt:lpwstr>
  </property>
  <property fmtid="{D5CDD505-2E9C-101B-9397-08002B2CF9AE}" pid="75" name="secLabels">
    <vt:lpwstr>arabic</vt:lpwstr>
  </property>
  <property fmtid="{D5CDD505-2E9C-101B-9397-08002B2CF9AE}" pid="76" name="secPrefix">
    <vt:lpwstr/>
  </property>
  <property fmtid="{D5CDD505-2E9C-101B-9397-08002B2CF9AE}" pid="77" name="secPrefixTemplate">
    <vt:lpwstr>p i</vt:lpwstr>
  </property>
  <property fmtid="{D5CDD505-2E9C-101B-9397-08002B2CF9AE}" pid="78" name="sectionsDepth">
    <vt:lpwstr>0</vt:lpwstr>
  </property>
  <property fmtid="{D5CDD505-2E9C-101B-9397-08002B2CF9AE}" pid="79" name="subfigGrid">
    <vt:lpwstr>False</vt:lpwstr>
  </property>
  <property fmtid="{D5CDD505-2E9C-101B-9397-08002B2CF9AE}" pid="80" name="subfigLabels">
    <vt:lpwstr>alpha a</vt:lpwstr>
  </property>
  <property fmtid="{D5CDD505-2E9C-101B-9397-08002B2CF9AE}" pid="81" name="subfigureChildTemplate">
    <vt:lpwstr>i</vt:lpwstr>
  </property>
  <property fmtid="{D5CDD505-2E9C-101B-9397-08002B2CF9AE}" pid="82" name="subfigureRefIndexTemplate">
    <vt:lpwstr>isuf (s)</vt:lpwstr>
  </property>
  <property fmtid="{D5CDD505-2E9C-101B-9397-08002B2CF9AE}" pid="83" name="subfigureTemplate">
    <vt:lpwstr>figureTitle ititleDelim t. ccs</vt:lpwstr>
  </property>
  <property fmtid="{D5CDD505-2E9C-101B-9397-08002B2CF9AE}" pid="84" name="subtitle">
    <vt:lpwstr>Номер 12</vt:lpwstr>
  </property>
  <property fmtid="{D5CDD505-2E9C-101B-9397-08002B2CF9AE}" pid="85" name="tableEqns">
    <vt:lpwstr>False</vt:lpwstr>
  </property>
  <property fmtid="{D5CDD505-2E9C-101B-9397-08002B2CF9AE}" pid="86" name="tableTemplate">
    <vt:lpwstr>tableTitle ititleDelim t</vt:lpwstr>
  </property>
  <property fmtid="{D5CDD505-2E9C-101B-9397-08002B2CF9AE}" pid="87" name="tableTitle">
    <vt:lpwstr>Таблица</vt:lpwstr>
  </property>
  <property fmtid="{D5CDD505-2E9C-101B-9397-08002B2CF9AE}" pid="88" name="tblLabels">
    <vt:lpwstr>arabic</vt:lpwstr>
  </property>
  <property fmtid="{D5CDD505-2E9C-101B-9397-08002B2CF9AE}" pid="89" name="tblPrefix">
    <vt:lpwstr/>
  </property>
  <property fmtid="{D5CDD505-2E9C-101B-9397-08002B2CF9AE}" pid="90" name="tblPrefixTemplate">
    <vt:lpwstr>p i</vt:lpwstr>
  </property>
  <property fmtid="{D5CDD505-2E9C-101B-9397-08002B2CF9AE}" pid="91" name="titleDelim">
    <vt:lpwstr>:</vt:lpwstr>
  </property>
  <property fmtid="{D5CDD505-2E9C-101B-9397-08002B2CF9AE}" pid="92" name="toc">
    <vt:lpwstr>True</vt:lpwstr>
  </property>
  <property fmtid="{D5CDD505-2E9C-101B-9397-08002B2CF9AE}" pid="93" name="toc-depth">
    <vt:lpwstr>2</vt:lpwstr>
  </property>
  <property fmtid="{D5CDD505-2E9C-101B-9397-08002B2CF9AE}" pid="94" name="toc-title">
    <vt:lpwstr>Содержание</vt:lpwstr>
  </property>
</Properties>
</file>