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Номер</w:t>
      </w:r>
      <w:r>
        <w:t xml:space="preserve"> </w:t>
      </w:r>
      <w:r>
        <w:t xml:space="preserve">15</w:t>
      </w:r>
    </w:p>
    <w:p>
      <w:pPr>
        <w:pStyle w:val="Author"/>
      </w:pPr>
      <w:r>
        <w:t xml:space="preserve">Кобзев</w:t>
      </w:r>
      <w:r>
        <w:t xml:space="preserve"> </w:t>
      </w:r>
      <w:r>
        <w:t xml:space="preserve">Д.</w:t>
      </w:r>
      <w:r>
        <w:t xml:space="preserve"> </w:t>
      </w:r>
      <w:r>
        <w:t xml:space="preserve">К.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по работе с журналами системных событий.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сервере создаем файл конфигурации сетевого хранения журналов (Рис. 12.1).</w:t>
      </w:r>
    </w:p>
    <w:p>
      <w:pPr>
        <w:pStyle w:val="CaptionedFigure"/>
      </w:pPr>
      <w:r>
        <w:drawing>
          <wp:inline>
            <wp:extent cx="2998976" cy="690595"/>
            <wp:effectExtent b="0" l="0" r="0" t="0"/>
            <wp:docPr descr="Создание файла конфигурации сетевого хранения журнало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976" cy="690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конфигурации сетевого хранения журналов</w:t>
      </w:r>
    </w:p>
    <w:p>
      <w:pPr>
        <w:pStyle w:val="BodyText"/>
      </w:pPr>
      <w:r>
        <w:t xml:space="preserve">В файле конфигурации /etc/rsyslog.d/netlog-server.conf включаем приём записей журнала по TCP-порту 514 (Рис. 12.2).</w:t>
      </w:r>
    </w:p>
    <w:p>
      <w:pPr>
        <w:pStyle w:val="CaptionedFigure"/>
      </w:pPr>
      <w:r>
        <w:drawing>
          <wp:inline>
            <wp:extent cx="3811065" cy="447608"/>
            <wp:effectExtent b="0" l="0" r="0" t="0"/>
            <wp:docPr descr="Файл конфигурации /etc/rsyslog.d/netlog-server.conf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065" cy="447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 /etc/rsyslog.d/netlog-server.conf</w:t>
      </w:r>
    </w:p>
    <w:p>
      <w:pPr>
        <w:pStyle w:val="BodyText"/>
      </w:pPr>
      <w:r>
        <w:t xml:space="preserve">Перезапускаем службу rsyslog и смотрим, какие порты, связанные с rsyslog, прослушиваются.</w:t>
      </w:r>
      <w:r>
        <w:t xml:space="preserve"> </w:t>
      </w:r>
      <w:r>
        <w:t xml:space="preserve">На сервере настраиваем межсетевой экран для приёма сообщений по TCP-порту 514 (Рис. 12.3).</w:t>
      </w:r>
    </w:p>
    <w:p>
      <w:pPr>
        <w:pStyle w:val="CaptionedFigure"/>
      </w:pPr>
      <w:r>
        <w:drawing>
          <wp:inline>
            <wp:extent cx="5320145" cy="2154914"/>
            <wp:effectExtent b="0" l="0" r="0" t="0"/>
            <wp:docPr descr="Настройка сервера сетевого журнал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45" cy="215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сервера сетевого журнала</w:t>
      </w:r>
    </w:p>
    <w:p>
      <w:pPr>
        <w:pStyle w:val="BodyText"/>
      </w:pPr>
      <w:r>
        <w:t xml:space="preserve">На клиенте создаем файл конфигурации сетевого хранения журналов (Рис. 12.4).</w:t>
      </w:r>
    </w:p>
    <w:p>
      <w:pPr>
        <w:pStyle w:val="CaptionedFigure"/>
      </w:pPr>
      <w:r>
        <w:drawing>
          <wp:inline>
            <wp:extent cx="2826327" cy="473186"/>
            <wp:effectExtent b="0" l="0" r="0" t="0"/>
            <wp:docPr descr="Создание файла конфигурации сетевого хранения журналов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27" cy="47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конфигурации сетевого хранения журналов</w:t>
      </w:r>
    </w:p>
    <w:p>
      <w:pPr>
        <w:pStyle w:val="BodyText"/>
      </w:pPr>
      <w:r>
        <w:t xml:space="preserve">На клиенте в файле конфигурации /etc/rsyslog.d/netlog-client.conf включаем перенаправление сообщений журнала на 514 TCP-порт сервера (Рис. 12.5).</w:t>
      </w:r>
    </w:p>
    <w:p>
      <w:pPr>
        <w:pStyle w:val="CaptionedFigure"/>
      </w:pPr>
      <w:r>
        <w:drawing>
          <wp:inline>
            <wp:extent cx="3516923" cy="300537"/>
            <wp:effectExtent b="0" l="0" r="0" t="0"/>
            <wp:docPr descr="Файл конфигурации /etc/rsyslog.d/netlog-client.conf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923" cy="30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 /etc/rsyslog.d/netlog-client.conf</w:t>
      </w:r>
    </w:p>
    <w:p>
      <w:pPr>
        <w:pStyle w:val="BodyText"/>
      </w:pPr>
      <w:r>
        <w:t xml:space="preserve">Перезапускаем службу rsyslog (Рис. 12.6).</w:t>
      </w:r>
    </w:p>
    <w:p>
      <w:pPr>
        <w:pStyle w:val="CaptionedFigure"/>
      </w:pPr>
      <w:r>
        <w:drawing>
          <wp:inline>
            <wp:extent cx="2890271" cy="147071"/>
            <wp:effectExtent b="0" l="0" r="0" t="0"/>
            <wp:docPr descr="Перезапуск службы rsyslog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271" cy="147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службы rsyslog</w:t>
      </w:r>
    </w:p>
    <w:p>
      <w:pPr>
        <w:pStyle w:val="BodyText"/>
      </w:pPr>
      <w:r>
        <w:t xml:space="preserve">На сервере смотрим один из файлов журнала (Рис. 12.7).</w:t>
      </w:r>
    </w:p>
    <w:p>
      <w:pPr>
        <w:pStyle w:val="CaptionedFigure"/>
      </w:pPr>
      <w:r>
        <w:drawing>
          <wp:inline>
            <wp:extent cx="5334000" cy="1970484"/>
            <wp:effectExtent b="0" l="0" r="0" t="0"/>
            <wp:docPr descr="Один из файлов журнал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Один из файлов журнала</w:t>
      </w:r>
    </w:p>
    <w:p>
      <w:pPr>
        <w:pStyle w:val="BodyText"/>
      </w:pPr>
      <w:r>
        <w:t xml:space="preserve">На сервере под пользователем user запускаем графическую программу для просмотра журналов (Рис. 12.8).</w:t>
      </w:r>
    </w:p>
    <w:p>
      <w:pPr>
        <w:pStyle w:val="CaptionedFigure"/>
      </w:pPr>
      <w:r>
        <w:drawing>
          <wp:inline>
            <wp:extent cx="5334000" cy="4477308"/>
            <wp:effectExtent b="0" l="0" r="0" t="0"/>
            <wp:docPr descr="Графическая программа для просмотра журналов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Графическая программа для просмотра журналов</w:t>
      </w:r>
    </w:p>
    <w:p>
      <w:pPr>
        <w:pStyle w:val="BodyText"/>
      </w:pPr>
      <w:r>
        <w:t xml:space="preserve">Просмотрите логи с сервера с помощью lnav (Рис. 12.9).</w:t>
      </w:r>
    </w:p>
    <w:p>
      <w:pPr>
        <w:pStyle w:val="CaptionedFigure"/>
      </w:pPr>
      <w:r>
        <w:drawing>
          <wp:inline>
            <wp:extent cx="5334000" cy="5453596"/>
            <wp:effectExtent b="0" l="0" r="0" t="0"/>
            <wp:docPr descr="Логи с сервер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3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с сервера</w:t>
      </w:r>
    </w:p>
    <w:p>
      <w:pPr>
        <w:pStyle w:val="BodyText"/>
      </w:pPr>
      <w:r>
        <w:t xml:space="preserve">Просмотрите логи с клиента с помощью lnav (Рис. 12.10).</w:t>
      </w:r>
    </w:p>
    <w:p>
      <w:pPr>
        <w:pStyle w:val="CaptionedFigure"/>
      </w:pPr>
      <w:r>
        <w:drawing>
          <wp:inline>
            <wp:extent cx="5334000" cy="4360472"/>
            <wp:effectExtent b="0" l="0" r="0" t="0"/>
            <wp:docPr descr="Логи с клиент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с клиента</w:t>
      </w:r>
    </w:p>
    <w:p>
      <w:pPr>
        <w:pStyle w:val="BodyText"/>
      </w:pPr>
      <w:r>
        <w:t xml:space="preserve">На виртуальной машине server переходим в каталог для внесения изменений в настройки внутреннего окружения /vagrant/provision/server/, создаем в нём каталог netlog, в который помещаем в соответствующие подкаталоги конфигурационные файлы.</w:t>
      </w:r>
      <w:r>
        <w:t xml:space="preserve"> </w:t>
      </w:r>
      <w:r>
        <w:t xml:space="preserve">В каталоге /vagrant/provision/server создаем файл netlog.sh (Рис. 12.11).</w:t>
      </w:r>
    </w:p>
    <w:p>
      <w:pPr>
        <w:pStyle w:val="CaptionedFigure"/>
      </w:pPr>
      <w:r>
        <w:drawing>
          <wp:inline>
            <wp:extent cx="5334000" cy="926563"/>
            <wp:effectExtent b="0" l="0" r="0" t="0"/>
            <wp:docPr descr="Внесение изменений в настройки внутреннего окружения виртуальной машины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Прописываем скрипт в netlog.sh (Рис. 12.12).</w:t>
      </w:r>
    </w:p>
    <w:p>
      <w:pPr>
        <w:pStyle w:val="CaptionedFigure"/>
      </w:pPr>
      <w:r>
        <w:drawing>
          <wp:inline>
            <wp:extent cx="3171625" cy="1240514"/>
            <wp:effectExtent b="0" l="0" r="0" t="0"/>
            <wp:docPr descr="Файл netlog.sh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625" cy="1240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netlog.sh</w:t>
      </w:r>
    </w:p>
    <w:p>
      <w:pPr>
        <w:pStyle w:val="BodyText"/>
      </w:pPr>
      <w:r>
        <w:t xml:space="preserve">На виртуальной машине client переходим в каталог для внесения изменений в настройки внутреннего окружения /vagrant/provision/client/, создаем в нём каталог netlog, в который помещаем в соответствующие подкаталоги конфигурационные файлы.</w:t>
      </w:r>
      <w:r>
        <w:t xml:space="preserve"> </w:t>
      </w:r>
      <w:r>
        <w:t xml:space="preserve">В каталоге /vagrant/provision/client создаем файл netlog.sh (Рис. 12.13).</w:t>
      </w:r>
    </w:p>
    <w:p>
      <w:pPr>
        <w:pStyle w:val="CaptionedFigure"/>
      </w:pPr>
      <w:r>
        <w:drawing>
          <wp:inline>
            <wp:extent cx="5211440" cy="754539"/>
            <wp:effectExtent b="0" l="0" r="0" t="0"/>
            <wp:docPr descr="Внесение изменений в настройки внутреннего окружения виртуальной машины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0" cy="75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Прописываем скрипт в netlog.sh (Рис. 12.14).</w:t>
      </w:r>
    </w:p>
    <w:p>
      <w:pPr>
        <w:pStyle w:val="CaptionedFigure"/>
      </w:pPr>
      <w:r>
        <w:drawing>
          <wp:inline>
            <wp:extent cx="3062920" cy="1080654"/>
            <wp:effectExtent b="0" l="0" r="0" t="0"/>
            <wp:docPr descr="Файл netlog.sh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920" cy="1080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netlog.sh</w:t>
      </w:r>
    </w:p>
    <w:p>
      <w:pPr>
        <w:pStyle w:val="BodyText"/>
      </w:pPr>
      <w:r>
        <w:t xml:space="preserve">Для отработки созданного скрипта во время загрузки виртуальных машин server и client в конфигурационном файле Vagrantfile добавляем в разделе конфигурации для сервера и клиент (Рис. 12.15), (Рис. 12.16).</w:t>
      </w:r>
    </w:p>
    <w:p>
      <w:pPr>
        <w:pStyle w:val="CaptionedFigure"/>
      </w:pPr>
      <w:r>
        <w:drawing>
          <wp:inline>
            <wp:extent cx="3670388" cy="2122942"/>
            <wp:effectExtent b="0" l="0" r="0" t="0"/>
            <wp:docPr descr="Vagrantfile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88" cy="212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p>
      <w:pPr>
        <w:pStyle w:val="CaptionedFigure"/>
      </w:pPr>
      <w:r>
        <w:drawing>
          <wp:inline>
            <wp:extent cx="3663994" cy="6061896"/>
            <wp:effectExtent b="0" l="0" r="0" t="0"/>
            <wp:docPr descr="Vagrantfile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94" cy="606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мною были получены навыки по работе с журналами системных событий.</w:t>
      </w:r>
    </w:p>
    <w:bookmarkEnd w:id="70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</dc:title>
  <dc:creator>Кобзев Д. К.</dc:creator>
  <dc:language>ru-RU</dc:language>
  <cp:keywords/>
  <dcterms:created xsi:type="dcterms:W3CDTF">2025-12-07T18:20:24Z</dcterms:created>
  <dcterms:modified xsi:type="dcterms:W3CDTF">2025-12-07T18:20:24Z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/home/dkkobzev/pandoc/csl/gost-r-7-0-5-2008-numeric.csl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IndexTemplate">
    <vt:lpwstr>(i)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Листинг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ItemTemplate">
    <vt:lpwstr>lofItemTitleilistItemTitleDelimt </vt:lpwstr>
  </property>
  <property fmtid="{D5CDD505-2E9C-101B-9397-08002B2CF9AE}" pid="43" name="lofItemTitle">
    <vt:lpwstr/>
  </property>
  <property fmtid="{D5CDD505-2E9C-101B-9397-08002B2CF9AE}" pid="44" name="lofTitle">
    <vt:lpwstr>Список иллюстраций</vt:lpwstr>
  </property>
  <property fmtid="{D5CDD505-2E9C-101B-9397-08002B2CF9AE}" pid="45" name="lolItemTemplate">
    <vt:lpwstr>lolItemTitleilistItemTitleDelimt </vt:lpwstr>
  </property>
  <property fmtid="{D5CDD505-2E9C-101B-9397-08002B2CF9AE}" pid="46" name="lolItemTitle">
    <vt:lpwstr/>
  </property>
  <property fmtid="{D5CDD505-2E9C-101B-9397-08002B2CF9AE}" pid="47" name="lolTitle">
    <vt:lpwstr>Листинги</vt:lpwstr>
  </property>
  <property fmtid="{D5CDD505-2E9C-101B-9397-08002B2CF9AE}" pid="48" name="lot">
    <vt:lpwstr>True</vt:lpwstr>
  </property>
  <property fmtid="{D5CDD505-2E9C-101B-9397-08002B2CF9AE}" pid="49" name="lotItemTemplate">
    <vt:lpwstr>lotItemTitleilistItemTitleDelimt </vt:lpwstr>
  </property>
  <property fmtid="{D5CDD505-2E9C-101B-9397-08002B2CF9AE}" pid="50" name="lotItemTitle">
    <vt:lpwstr/>
  </property>
  <property fmtid="{D5CDD505-2E9C-101B-9397-08002B2CF9AE}" pid="51" name="lotTitle">
    <vt:lpwstr>Список таблиц</vt:lpwstr>
  </property>
  <property fmtid="{D5CDD505-2E9C-101B-9397-08002B2CF9AE}" pid="52" name="lstLabels">
    <vt:lpwstr>arabic</vt:lpwstr>
  </property>
  <property fmtid="{D5CDD505-2E9C-101B-9397-08002B2CF9AE}" pid="53" name="lstPrefix">
    <vt:lpwstr/>
  </property>
  <property fmtid="{D5CDD505-2E9C-101B-9397-08002B2CF9AE}" pid="54" name="lstPrefixTemplate">
    <vt:lpwstr>p i</vt:lpwstr>
  </property>
  <property fmtid="{D5CDD505-2E9C-101B-9397-08002B2CF9AE}" pid="55" name="mainfont">
    <vt:lpwstr>Liberation Serif</vt:lpwstr>
  </property>
  <property fmtid="{D5CDD505-2E9C-101B-9397-08002B2CF9AE}" pid="56" name="mainfontoptions">
    <vt:lpwstr>Ligatures=Common,Ligatures=TeX,Scale=0.94</vt:lpwstr>
  </property>
  <property fmtid="{D5CDD505-2E9C-101B-9397-08002B2CF9AE}" pid="57" name="mathfont">
    <vt:lpwstr>STIX Two Math</vt:lpwstr>
  </property>
  <property fmtid="{D5CDD505-2E9C-101B-9397-08002B2CF9AE}" pid="58" name="monofont">
    <vt:lpwstr>Liberation Mono</vt:lpwstr>
  </property>
  <property fmtid="{D5CDD505-2E9C-101B-9397-08002B2CF9AE}" pid="59" name="monofontoptions">
    <vt:lpwstr>Scale=MatchLowercase,Scale=0.94,FakeStretch=0.9</vt:lpwstr>
  </property>
  <property fmtid="{D5CDD505-2E9C-101B-9397-08002B2CF9AE}" pid="60" name="nameInLink">
    <vt:lpwstr>False</vt:lpwstr>
  </property>
  <property fmtid="{D5CDD505-2E9C-101B-9397-08002B2CF9AE}" pid="61" name="numberSections">
    <vt:lpwstr>False</vt:lpwstr>
  </property>
  <property fmtid="{D5CDD505-2E9C-101B-9397-08002B2CF9AE}" pid="62" name="pairDelim">
    <vt:lpwstr>, </vt:lpwstr>
  </property>
  <property fmtid="{D5CDD505-2E9C-101B-9397-08002B2CF9AE}" pid="63" name="papersize">
    <vt:lpwstr>a4</vt:lpwstr>
  </property>
  <property fmtid="{D5CDD505-2E9C-101B-9397-08002B2CF9AE}" pid="64" name="polyglossia-lang">
    <vt:lpwstr/>
  </property>
  <property fmtid="{D5CDD505-2E9C-101B-9397-08002B2CF9AE}" pid="65" name="polyglossia-otherlangs">
    <vt:lpwstr/>
  </property>
  <property fmtid="{D5CDD505-2E9C-101B-9397-08002B2CF9AE}" pid="66" name="rangeDelim">
    <vt:lpwstr>-</vt:lpwstr>
  </property>
  <property fmtid="{D5CDD505-2E9C-101B-9397-08002B2CF9AE}" pid="67" name="refDelim">
    <vt:lpwstr>, </vt:lpwstr>
  </property>
  <property fmtid="{D5CDD505-2E9C-101B-9397-08002B2CF9AE}" pid="68" name="refIndexTemplate">
    <vt:lpwstr>isuf</vt:lpwstr>
  </property>
  <property fmtid="{D5CDD505-2E9C-101B-9397-08002B2CF9AE}" pid="69" name="romanfont">
    <vt:lpwstr>Liberation Serif</vt:lpwstr>
  </property>
  <property fmtid="{D5CDD505-2E9C-101B-9397-08002B2CF9AE}" pid="70" name="romanfontoptions">
    <vt:lpwstr>Ligatures=Common,Ligatures=TeX,Scale=0.94</vt:lpwstr>
  </property>
  <property fmtid="{D5CDD505-2E9C-101B-9397-08002B2CF9AE}" pid="71" name="sansfont">
    <vt:lpwstr>Liberation Sans</vt:lpwstr>
  </property>
  <property fmtid="{D5CDD505-2E9C-101B-9397-08002B2CF9AE}" pid="72" name="sansfontoptions">
    <vt:lpwstr>Ligatures=Common,Ligatures=TeX,Scale=MatchLowercase,Scale=0.94</vt:lpwstr>
  </property>
  <property fmtid="{D5CDD505-2E9C-101B-9397-08002B2CF9AE}" pid="73" name="secHeaderDelim">
    <vt:lpwstr> </vt:lpwstr>
  </property>
  <property fmtid="{D5CDD505-2E9C-101B-9397-08002B2CF9AE}" pid="74" name="secHeaderTemplate">
    <vt:lpwstr>isecHeaderDelim[n]t</vt:lpwstr>
  </property>
  <property fmtid="{D5CDD505-2E9C-101B-9397-08002B2CF9AE}" pid="75" name="secLabels">
    <vt:lpwstr>arabic</vt:lpwstr>
  </property>
  <property fmtid="{D5CDD505-2E9C-101B-9397-08002B2CF9AE}" pid="76" name="secPrefix">
    <vt:lpwstr/>
  </property>
  <property fmtid="{D5CDD505-2E9C-101B-9397-08002B2CF9AE}" pid="77" name="secPrefixTemplate">
    <vt:lpwstr>p i</vt:lpwstr>
  </property>
  <property fmtid="{D5CDD505-2E9C-101B-9397-08002B2CF9AE}" pid="78" name="sectionsDepth">
    <vt:lpwstr>0</vt:lpwstr>
  </property>
  <property fmtid="{D5CDD505-2E9C-101B-9397-08002B2CF9AE}" pid="79" name="subfigGrid">
    <vt:lpwstr>False</vt:lpwstr>
  </property>
  <property fmtid="{D5CDD505-2E9C-101B-9397-08002B2CF9AE}" pid="80" name="subfigLabels">
    <vt:lpwstr>alpha a</vt:lpwstr>
  </property>
  <property fmtid="{D5CDD505-2E9C-101B-9397-08002B2CF9AE}" pid="81" name="subfigureChildTemplate">
    <vt:lpwstr>i</vt:lpwstr>
  </property>
  <property fmtid="{D5CDD505-2E9C-101B-9397-08002B2CF9AE}" pid="82" name="subfigureRefIndexTemplate">
    <vt:lpwstr>isuf (s)</vt:lpwstr>
  </property>
  <property fmtid="{D5CDD505-2E9C-101B-9397-08002B2CF9AE}" pid="83" name="subfigureTemplate">
    <vt:lpwstr>figureTitle ititleDelim t. ccs</vt:lpwstr>
  </property>
  <property fmtid="{D5CDD505-2E9C-101B-9397-08002B2CF9AE}" pid="84" name="subtitle">
    <vt:lpwstr>Номер 15</vt:lpwstr>
  </property>
  <property fmtid="{D5CDD505-2E9C-101B-9397-08002B2CF9AE}" pid="85" name="tableEqns">
    <vt:lpwstr>False</vt:lpwstr>
  </property>
  <property fmtid="{D5CDD505-2E9C-101B-9397-08002B2CF9AE}" pid="86" name="tableTemplate">
    <vt:lpwstr>tableTitle ititleDelim t</vt:lpwstr>
  </property>
  <property fmtid="{D5CDD505-2E9C-101B-9397-08002B2CF9AE}" pid="87" name="tableTitle">
    <vt:lpwstr>Таблица</vt:lpwstr>
  </property>
  <property fmtid="{D5CDD505-2E9C-101B-9397-08002B2CF9AE}" pid="88" name="tblLabels">
    <vt:lpwstr>arabic</vt:lpwstr>
  </property>
  <property fmtid="{D5CDD505-2E9C-101B-9397-08002B2CF9AE}" pid="89" name="tblPrefix">
    <vt:lpwstr/>
  </property>
  <property fmtid="{D5CDD505-2E9C-101B-9397-08002B2CF9AE}" pid="90" name="tblPrefixTemplate">
    <vt:lpwstr>p i</vt:lpwstr>
  </property>
  <property fmtid="{D5CDD505-2E9C-101B-9397-08002B2CF9AE}" pid="91" name="titleDelim">
    <vt:lpwstr>:</vt:lpwstr>
  </property>
  <property fmtid="{D5CDD505-2E9C-101B-9397-08002B2CF9AE}" pid="92" name="toc">
    <vt:lpwstr>True</vt:lpwstr>
  </property>
  <property fmtid="{D5CDD505-2E9C-101B-9397-08002B2CF9AE}" pid="93" name="toc-depth">
    <vt:lpwstr>2</vt:lpwstr>
  </property>
  <property fmtid="{D5CDD505-2E9C-101B-9397-08002B2CF9AE}" pid="94" name="toc-title">
    <vt:lpwstr>Содержание</vt:lpwstr>
  </property>
</Properties>
</file>