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принципов распределения и настройки адресного пространства на устройствах сети.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aptionedFigure"/>
      </w:pPr>
      <w:r>
        <w:drawing>
          <wp:inline>
            <wp:extent cx="5275384" cy="6317672"/>
            <wp:effectExtent b="0" l="0" r="0" t="0"/>
            <wp:docPr descr="Разбиение IPv4-сети на под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84" cy="6317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Разбиение IPv4-сети на подсети</w:t>
      </w:r>
    </w:p>
    <w:p>
      <w:pPr>
        <w:pStyle w:val="CaptionedFigure"/>
      </w:pPr>
      <w:r>
        <w:drawing>
          <wp:inline>
            <wp:extent cx="4744648" cy="6317672"/>
            <wp:effectExtent b="0" l="0" r="0" t="0"/>
            <wp:docPr descr="Разбиение IPv6-сети на подсет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48" cy="6317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Разбиение IPv6-сети на подсети</w:t>
      </w:r>
    </w:p>
    <w:p>
      <w:pPr>
        <w:pStyle w:val="BodyText"/>
      </w:pPr>
      <w:r>
        <w:t xml:space="preserve">В рабочем пространстве размещаем и соединяем устройства в соответствии с топологией. Для подсети IPv4 используем маршрутизатор FRR, а для подсети с IPv6 — маршрутизатор VyOS.</w:t>
      </w:r>
      <w:r>
        <w:t xml:space="preserve"> </w:t>
      </w:r>
      <w:r>
        <w:t xml:space="preserve">Изменяем отображаемые названия устройств.</w:t>
      </w:r>
      <w:r>
        <w:t xml:space="preserve"> </w:t>
      </w:r>
      <w:r>
        <w:t xml:space="preserve">Включаем захват трафика на соединении между сервером двойного стека адресации и ближайшим к нему коммутатором (Рис. 12.3).</w:t>
      </w:r>
    </w:p>
    <w:p>
      <w:pPr>
        <w:pStyle w:val="CaptionedFigure"/>
      </w:pPr>
      <w:r>
        <w:drawing>
          <wp:inline>
            <wp:extent cx="5334000" cy="3379161"/>
            <wp:effectExtent b="0" l="0" r="0" t="0"/>
            <wp:docPr descr="Топология сет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pStyle w:val="BodyText"/>
      </w:pPr>
      <w:r>
        <w:t xml:space="preserve">Настраиваем IPv4-адресацию для интерфейсов узлов PC1, PC2, Server.</w:t>
      </w:r>
    </w:p>
    <w:p>
      <w:pPr>
        <w:pStyle w:val="BodyText"/>
      </w:pPr>
      <w:r>
        <w:t xml:space="preserve">Смотрим на PC1 и PC2 конфигурацию IPv4 и IPv6 (Рис. 12.4), (Рис. 12.5), (Рис. 12.6).</w:t>
      </w:r>
    </w:p>
    <w:p>
      <w:pPr>
        <w:pStyle w:val="CaptionedFigure"/>
      </w:pPr>
      <w:r>
        <w:drawing>
          <wp:inline>
            <wp:extent cx="2973398" cy="3178019"/>
            <wp:effectExtent b="0" l="0" r="0" t="0"/>
            <wp:docPr descr="Настройка IPv4-адресации VPCS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398" cy="3178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VPCS</w:t>
      </w:r>
    </w:p>
    <w:p>
      <w:pPr>
        <w:pStyle w:val="CaptionedFigure"/>
      </w:pPr>
      <w:r>
        <w:drawing>
          <wp:inline>
            <wp:extent cx="3158836" cy="3178019"/>
            <wp:effectExtent b="0" l="0" r="0" t="0"/>
            <wp:docPr descr="Настройка IPv4-адресации VPCS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836" cy="3178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VPCS</w:t>
      </w:r>
    </w:p>
    <w:p>
      <w:pPr>
        <w:pStyle w:val="CaptionedFigure"/>
      </w:pPr>
      <w:r>
        <w:drawing>
          <wp:inline>
            <wp:extent cx="2736805" cy="831272"/>
            <wp:effectExtent b="0" l="0" r="0" t="0"/>
            <wp:docPr descr="Настройка IPv4-адресации VPCS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05" cy="83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VPCS</w:t>
      </w:r>
    </w:p>
    <w:p>
      <w:pPr>
        <w:pStyle w:val="BodyText"/>
      </w:pPr>
      <w:r>
        <w:t xml:space="preserve">Настраиваем IPv4-адресацию для интерфейсов локальной сети маршрутизатора FRR msk-user-gw-01 (Рис. 12.7).</w:t>
      </w:r>
    </w:p>
    <w:p>
      <w:pPr>
        <w:pStyle w:val="CaptionedFigure"/>
      </w:pPr>
      <w:r>
        <w:drawing>
          <wp:inline>
            <wp:extent cx="2909454" cy="3395429"/>
            <wp:effectExtent b="0" l="0" r="0" t="0"/>
            <wp:docPr descr="Настройка IPv4-адресации маршрутизатор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54" cy="339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маршрутизатора</w:t>
      </w:r>
    </w:p>
    <w:p>
      <w:pPr>
        <w:pStyle w:val="BodyText"/>
      </w:pPr>
      <w:r>
        <w:t xml:space="preserve">Проверяем конфигурацию маршрутизатора и настройки IPv4-адресации (Рис. 12.8).</w:t>
      </w:r>
    </w:p>
    <w:p>
      <w:pPr>
        <w:pStyle w:val="CaptionedFigure"/>
      </w:pPr>
      <w:r>
        <w:drawing>
          <wp:inline>
            <wp:extent cx="3101286" cy="4060447"/>
            <wp:effectExtent b="0" l="0" r="0" t="0"/>
            <wp:docPr descr="Проверка конфигурации маршрутизатора и настройки IPv4-адресации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286" cy="4060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маршрутизатора и настройки IPv4-адресации</w:t>
      </w:r>
    </w:p>
    <w:p>
      <w:pPr>
        <w:pStyle w:val="BodyText"/>
      </w:pPr>
      <w:r>
        <w:t xml:space="preserve">Проверяем подключение с помощью команд ping и trace. Узлы PC1 и PC2 успешно отправляют эхо-запросы друг другу и на сервер с двойным стеком (Рис. 12.9), (Рис. 12.10).</w:t>
      </w:r>
    </w:p>
    <w:p>
      <w:pPr>
        <w:pStyle w:val="CaptionedFigure"/>
      </w:pPr>
      <w:r>
        <w:drawing>
          <wp:inline>
            <wp:extent cx="4316223" cy="2628100"/>
            <wp:effectExtent b="0" l="0" r="0" t="0"/>
            <wp:docPr descr="Проверка подключения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23" cy="262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</w:t>
      </w:r>
    </w:p>
    <w:p>
      <w:pPr>
        <w:pStyle w:val="CaptionedFigure"/>
      </w:pPr>
      <w:r>
        <w:drawing>
          <wp:inline>
            <wp:extent cx="4335406" cy="2634495"/>
            <wp:effectExtent b="0" l="0" r="0" t="0"/>
            <wp:docPr descr="Проверка подключени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06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</w:t>
      </w:r>
    </w:p>
    <w:p>
      <w:pPr>
        <w:pStyle w:val="BodyText"/>
      </w:pPr>
      <w:r>
        <w:t xml:space="preserve">Настраиваем IPv6-адресацию для интерфейсов узлов PC3, PC4, Server. Смотрим на PC3 и PC4 конфигурацию IPv4 и IPv6 (Рис. 12.11), (Рис. 12.12), (Рис. 12.13).</w:t>
      </w:r>
    </w:p>
    <w:p>
      <w:pPr>
        <w:pStyle w:val="CaptionedFigure"/>
      </w:pPr>
      <w:r>
        <w:drawing>
          <wp:inline>
            <wp:extent cx="2615311" cy="3075709"/>
            <wp:effectExtent b="0" l="0" r="0" t="0"/>
            <wp:docPr descr="Настройка IPv6-адресации VPCS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311" cy="307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VPCS</w:t>
      </w:r>
    </w:p>
    <w:p>
      <w:pPr>
        <w:pStyle w:val="CaptionedFigure"/>
      </w:pPr>
      <w:r>
        <w:drawing>
          <wp:inline>
            <wp:extent cx="2602523" cy="3069314"/>
            <wp:effectExtent b="0" l="0" r="0" t="0"/>
            <wp:docPr descr="Настройка IPv6-адресации VPCS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523" cy="306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VPCS</w:t>
      </w:r>
    </w:p>
    <w:p>
      <w:pPr>
        <w:pStyle w:val="CaptionedFigure"/>
      </w:pPr>
      <w:r>
        <w:drawing>
          <wp:inline>
            <wp:extent cx="2442662" cy="741751"/>
            <wp:effectExtent b="0" l="0" r="0" t="0"/>
            <wp:docPr descr="Настройка IPv6-адресации VPCS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62" cy="74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VPCS</w:t>
      </w:r>
    </w:p>
    <w:p>
      <w:pPr>
        <w:pStyle w:val="BodyText"/>
      </w:pPr>
      <w:r>
        <w:t xml:space="preserve">Настраиваем IPv6-адресацию для интерфейсов локальной сети маршрутизатора VyOS msk-user-gw-02. Переходим в режим конфигурирования, изменяем имя устройства.</w:t>
      </w:r>
      <w:r>
        <w:t xml:space="preserve"> </w:t>
      </w:r>
      <w:r>
        <w:t xml:space="preserve">Назначаем IPv6-адреса маршрутизатору msk-user-gw-02 (Рис. 12.14).</w:t>
      </w:r>
    </w:p>
    <w:p>
      <w:pPr>
        <w:pStyle w:val="CaptionedFigure"/>
      </w:pPr>
      <w:r>
        <w:drawing>
          <wp:inline>
            <wp:extent cx="4322618" cy="4667916"/>
            <wp:effectExtent b="0" l="0" r="0" t="0"/>
            <wp:docPr descr="Настройка IPv6-адресации маршрутизатор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18" cy="466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маршрутизатора</w:t>
      </w:r>
    </w:p>
    <w:p>
      <w:pPr>
        <w:pStyle w:val="BodyText"/>
      </w:pPr>
      <w:r>
        <w:t xml:space="preserve">Предполагается, что маршрутизатор разбивает сеть на две подсети с адресами</w:t>
      </w:r>
      <w:r>
        <w:t xml:space="preserve"> </w:t>
      </w:r>
      <w:r>
        <w:t xml:space="preserve">IPv4 и IPv6:</w:t>
      </w:r>
      <w:r>
        <w:t xml:space="preserve"> </w:t>
      </w:r>
      <w:r>
        <w:t xml:space="preserve">– подсеть 1: 10.10.1.96/27; 2001:DB8:1:1::/64;</w:t>
      </w:r>
      <w:r>
        <w:t xml:space="preserve"> </w:t>
      </w:r>
      <w:r>
        <w:t xml:space="preserve">– подсеть 2: 10.10.1.16/28; 2001:DB8:1:4::/64.</w:t>
      </w:r>
      <w:r>
        <w:t xml:space="preserve"> </w:t>
      </w:r>
      <w:r>
        <w:t xml:space="preserve">Характеризуем подсети, указав, какие адреса в них входят (Рис. 12.15).</w:t>
      </w:r>
    </w:p>
    <w:p>
      <w:pPr>
        <w:pStyle w:val="CaptionedFigure"/>
      </w:pPr>
      <w:r>
        <w:drawing>
          <wp:inline>
            <wp:extent cx="3612839" cy="5403272"/>
            <wp:effectExtent b="0" l="0" r="0" t="0"/>
            <wp:docPr descr="Характеристика подсетей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839" cy="54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Характеристика подсетей</w:t>
      </w:r>
    </w:p>
    <w:p>
      <w:pPr>
        <w:pStyle w:val="BodyText"/>
      </w:pPr>
      <w:r>
        <w:t xml:space="preserve">Предлогаем вариант таблицы адресации для заданной топологии и адресного пространства, причём для интерфейсов маршрутизатора выбрать наименьший адрес в подсети (Рис. 12.16).</w:t>
      </w:r>
    </w:p>
    <w:p>
      <w:pPr>
        <w:pStyle w:val="CaptionedFigure"/>
      </w:pPr>
      <w:r>
        <w:drawing>
          <wp:inline>
            <wp:extent cx="4981241" cy="2397902"/>
            <wp:effectExtent b="0" l="0" r="0" t="0"/>
            <wp:docPr descr="Таблица адресации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241" cy="239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адресации</w:t>
      </w:r>
    </w:p>
    <w:p>
      <w:pPr>
        <w:pStyle w:val="BodyText"/>
      </w:pPr>
      <w:r>
        <w:t xml:space="preserve">Настраиваем IP-адресацию на маршрутизаторе VyOS и оконечных устройствах, причём на интерфейсах маршрутизатора установить наименьший адрес в подсети (Рис. 12.17), (Рис. 12.18).</w:t>
      </w:r>
    </w:p>
    <w:p>
      <w:pPr>
        <w:pStyle w:val="CaptionedFigure"/>
      </w:pPr>
      <w:r>
        <w:drawing>
          <wp:inline>
            <wp:extent cx="5334000" cy="736934"/>
            <wp:effectExtent b="0" l="0" r="0" t="0"/>
            <wp:docPr descr="Топология сети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pStyle w:val="CaptionedFigure"/>
      </w:pPr>
      <w:r>
        <w:drawing>
          <wp:inline>
            <wp:extent cx="2915848" cy="3964531"/>
            <wp:effectExtent b="0" l="0" r="0" t="0"/>
            <wp:docPr descr="Настройка IP-адресации PC1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848" cy="3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PC1</w:t>
      </w:r>
    </w:p>
    <w:p>
      <w:pPr>
        <w:pStyle w:val="CaptionedFigure"/>
      </w:pPr>
      <w:r>
        <w:drawing>
          <wp:inline>
            <wp:extent cx="2839116" cy="3945348"/>
            <wp:effectExtent b="0" l="0" r="0" t="0"/>
            <wp:docPr descr="Настройка IP-адресации PC2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16" cy="394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PC2</w:t>
      </w:r>
    </w:p>
    <w:p>
      <w:pPr>
        <w:pStyle w:val="CaptionedFigure"/>
      </w:pPr>
      <w:r>
        <w:drawing>
          <wp:inline>
            <wp:extent cx="2129337" cy="1841588"/>
            <wp:effectExtent b="0" l="0" r="0" t="0"/>
            <wp:docPr descr="Настройка IP-адресации VyOS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337" cy="1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VyOS</w:t>
      </w:r>
    </w:p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изучены принципы распределения и настройки адресного пространства на устройствах сети.</w:t>
      </w:r>
    </w:p>
    <w:bookmarkEnd w:id="82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2025-12-03T17:30:18Z</dcterms:created>
  <dcterms:modified xsi:type="dcterms:W3CDTF">2025-12-03T17:30:18Z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6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