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службы DHCP на сетевом оборудовании для распределения адресов IPv4 и IPv6.</w:t>
      </w:r>
    </w:p>
    <w:bookmarkEnd w:id="20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рабочем пространстве размещаем и соединяем устройства в соответствии с топологией. Используем маршрутизатор VyOS и хост (клиент) VPCS.</w:t>
      </w:r>
      <w:r>
        <w:t xml:space="preserve"> </w:t>
      </w:r>
      <w:r>
        <w:t xml:space="preserve">Изменяем отображаемые названия устройств.</w:t>
      </w:r>
      <w:r>
        <w:t xml:space="preserve"> </w:t>
      </w:r>
      <w:r>
        <w:t xml:space="preserve">Включаем захват трафика на соединении между коммутатором sw-01 и маршрутизатором gw-01 (Рис. 12.1).</w:t>
      </w:r>
    </w:p>
    <w:p>
      <w:pPr>
        <w:pStyle w:val="CaptionedFigure"/>
      </w:pPr>
      <w:r>
        <w:drawing>
          <wp:inline>
            <wp:extent cx="5281779" cy="1074260"/>
            <wp:effectExtent b="0" l="0" r="0" t="0"/>
            <wp:docPr descr="Топология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779" cy="107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BodyText"/>
      </w:pPr>
      <w:r>
        <w:t xml:space="preserve">На маршрутизаторе переходим в режим конфигурирования, изменяем имя устройства и доменное имя, заменяем системного пользователя, заданного по умолчанию, на моего пользователя.</w:t>
      </w:r>
      <w:r>
        <w:t xml:space="preserve"> </w:t>
      </w:r>
      <w:r>
        <w:t xml:space="preserve">На маршрутизаторе под созданным пользователем переходим в режим конфигурирования и настраиваем адресацию IPv4.</w:t>
      </w:r>
      <w:r>
        <w:t xml:space="preserve"> </w:t>
      </w:r>
      <w:r>
        <w:t xml:space="preserve">Добавляем конфигурацию DHCP-сервера на маршрутизаторе (Рис. 12.2).</w:t>
      </w:r>
    </w:p>
    <w:p>
      <w:pPr>
        <w:pStyle w:val="CaptionedFigure"/>
      </w:pPr>
      <w:r>
        <w:drawing>
          <wp:inline>
            <wp:extent cx="4322618" cy="2935032"/>
            <wp:effectExtent b="0" l="0" r="0" t="0"/>
            <wp:docPr descr="Настройка образа VyOS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293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VyOS</w:t>
      </w:r>
    </w:p>
    <w:p>
      <w:pPr>
        <w:pStyle w:val="BodyText"/>
      </w:pPr>
      <w:r>
        <w:t xml:space="preserve">Смотрим статистику DHCP-сервера и выданных адресов (Рис. 12.3).</w:t>
      </w:r>
    </w:p>
    <w:p>
      <w:pPr>
        <w:pStyle w:val="CaptionedFigure"/>
      </w:pPr>
      <w:r>
        <w:drawing>
          <wp:inline>
            <wp:extent cx="4303434" cy="971949"/>
            <wp:effectExtent b="0" l="0" r="0" t="0"/>
            <wp:docPr descr="Статистика DHCP-сервера и выданных адрес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434" cy="97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 и выданных адресов</w:t>
      </w:r>
    </w:p>
    <w:p>
      <w:pPr>
        <w:pStyle w:val="BodyText"/>
      </w:pPr>
      <w:r>
        <w:t xml:space="preserve">Настраиваем оконечное устройство PC1.</w:t>
      </w:r>
      <w:r>
        <w:t xml:space="preserve"> </w:t>
      </w:r>
      <w:r>
        <w:t xml:space="preserve">Проверяем конфигурацию IPv4 на узле, пингуем маршрутизатор (Рис. 12.4).</w:t>
      </w:r>
    </w:p>
    <w:p>
      <w:pPr>
        <w:pStyle w:val="CaptionedFigure"/>
      </w:pPr>
      <w:r>
        <w:drawing>
          <wp:inline>
            <wp:extent cx="4329012" cy="6982690"/>
            <wp:effectExtent b="0" l="0" r="0" t="0"/>
            <wp:docPr descr="Конфигурация IPv4 на PC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12" cy="6982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IPv4 на PC1</w:t>
      </w:r>
    </w:p>
    <w:p>
      <w:pPr>
        <w:pStyle w:val="BodyText"/>
      </w:pPr>
      <w:r>
        <w:t xml:space="preserve">На маршрутизаторе вновь смотрим статистику DHCP-сервера и выданные адреса (Рис. 12.5).</w:t>
      </w:r>
    </w:p>
    <w:p>
      <w:pPr>
        <w:pStyle w:val="CaptionedFigure"/>
      </w:pPr>
      <w:r>
        <w:drawing>
          <wp:inline>
            <wp:extent cx="4354590" cy="1195753"/>
            <wp:effectExtent b="0" l="0" r="0" t="0"/>
            <wp:docPr descr="Статистика DHCP-сервера и выданных адресов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590" cy="119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 и выданных адресов</w:t>
      </w:r>
    </w:p>
    <w:p>
      <w:pPr>
        <w:pStyle w:val="BodyText"/>
      </w:pPr>
      <w:r>
        <w:t xml:space="preserve">В рабочем пространстве дополняем сеть, разместив и соединив устройства в соответствии с топологией. Используем хост Kali Linux CLI.</w:t>
      </w:r>
      <w:r>
        <w:t xml:space="preserve"> </w:t>
      </w:r>
      <w:r>
        <w:t xml:space="preserve">Изменяем отображаемые названия устройств.</w:t>
      </w:r>
      <w:r>
        <w:t xml:space="preserve"> </w:t>
      </w:r>
      <w:r>
        <w:t xml:space="preserve">Включаем захват трафика на соединениях между маршрутизатором gw-01 и коммутаторами sw-02 и sw-03. (Рис. 12.6).</w:t>
      </w:r>
    </w:p>
    <w:p>
      <w:pPr>
        <w:pStyle w:val="CaptionedFigure"/>
      </w:pPr>
      <w:r>
        <w:drawing>
          <wp:inline>
            <wp:extent cx="5334000" cy="2002505"/>
            <wp:effectExtent b="0" l="0" r="0" t="0"/>
            <wp:docPr descr="Топология сет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BodyText"/>
      </w:pPr>
      <w:r>
        <w:t xml:space="preserve">Настраиваем адресацию IPv6 на маршрутизаторе.</w:t>
      </w:r>
      <w:r>
        <w:t xml:space="preserve"> </w:t>
      </w:r>
      <w:r>
        <w:t xml:space="preserve">На маршрутизаторе настраиваем DHCPv6 без отслеживания состояния. Настраиваем объявления о маршрутизаторах (Рис. 12.7).</w:t>
      </w:r>
    </w:p>
    <w:p>
      <w:pPr>
        <w:pStyle w:val="CaptionedFigure"/>
      </w:pPr>
      <w:r>
        <w:drawing>
          <wp:inline>
            <wp:extent cx="4329012" cy="4930086"/>
            <wp:effectExtent b="0" l="0" r="0" t="0"/>
            <wp:docPr descr="Настройка IPv6-адресации маршрутизатор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12" cy="493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маршрутизатора</w:t>
      </w:r>
    </w:p>
    <w:p>
      <w:pPr>
        <w:pStyle w:val="BodyText"/>
      </w:pPr>
      <w:r>
        <w:t xml:space="preserve">Добавляем конфигурации DHCP-сервера (Рис. 12.8).</w:t>
      </w:r>
    </w:p>
    <w:p>
      <w:pPr>
        <w:pStyle w:val="CaptionedFigure"/>
      </w:pPr>
      <w:r>
        <w:drawing>
          <wp:inline>
            <wp:extent cx="4341801" cy="4552816"/>
            <wp:effectExtent b="0" l="0" r="0" t="0"/>
            <wp:docPr descr="Конфигурации DHCP-сервер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801" cy="455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DHCP-сервера</w:t>
      </w:r>
    </w:p>
    <w:p>
      <w:pPr>
        <w:pStyle w:val="BodyText"/>
      </w:pPr>
      <w:r>
        <w:t xml:space="preserve">На узле PC2 проверяем настройки сети.</w:t>
      </w:r>
      <w:r>
        <w:t xml:space="preserve"> </w:t>
      </w:r>
      <w:r>
        <w:t xml:space="preserve">На узле PC2 пингуем маршрутизатор (Рис. 12.9).</w:t>
      </w:r>
    </w:p>
    <w:p>
      <w:pPr>
        <w:pStyle w:val="CaptionedFigure"/>
      </w:pPr>
      <w:r>
        <w:drawing>
          <wp:inline>
            <wp:extent cx="3561683" cy="6618209"/>
            <wp:effectExtent b="0" l="0" r="0" t="0"/>
            <wp:docPr descr="Проверка настройки сети PC2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683" cy="661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настройки сети PC2</w:t>
      </w:r>
    </w:p>
    <w:p>
      <w:pPr>
        <w:pStyle w:val="BodyText"/>
      </w:pPr>
      <w:r>
        <w:t xml:space="preserve">На узле PC2 получаем адрес по DHCPv6.</w:t>
      </w:r>
      <w:r>
        <w:t xml:space="preserve"> </w:t>
      </w:r>
      <w:r>
        <w:t xml:space="preserve">Проверяем настройки DNS. (Рис. 12.10).</w:t>
      </w:r>
    </w:p>
    <w:p>
      <w:pPr>
        <w:pStyle w:val="CaptionedFigure"/>
      </w:pPr>
      <w:r>
        <w:drawing>
          <wp:inline>
            <wp:extent cx="3600050" cy="3651205"/>
            <wp:effectExtent b="0" l="0" r="0" t="0"/>
            <wp:docPr descr="Настройка сети PC2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50" cy="365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сети PC2</w:t>
      </w:r>
    </w:p>
    <w:p>
      <w:pPr>
        <w:pStyle w:val="BodyText"/>
      </w:pPr>
      <w:r>
        <w:t xml:space="preserve">На маршрутизаторе настраиваем DHCPv6 с отслеживанием состояния.</w:t>
      </w:r>
      <w:r>
        <w:t xml:space="preserve"> </w:t>
      </w:r>
      <w:r>
        <w:t xml:space="preserve">На интерфейсе eth2 маршрутизатора настраиваем объявления о маршрутизаторах.</w:t>
      </w:r>
      <w:r>
        <w:t xml:space="preserve"> </w:t>
      </w:r>
      <w:r>
        <w:t xml:space="preserve">Добавляем конфигурацию DHCP-сервера на маршрутизаторе (Рис. 12.11).</w:t>
      </w:r>
    </w:p>
    <w:p>
      <w:pPr>
        <w:pStyle w:val="CaptionedFigure"/>
      </w:pPr>
      <w:r>
        <w:drawing>
          <wp:inline>
            <wp:extent cx="4348195" cy="3734332"/>
            <wp:effectExtent b="0" l="0" r="0" t="0"/>
            <wp:docPr descr="Настройка DHCPv6 на маршрутизатор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95" cy="373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на маршрутизаторе</w:t>
      </w:r>
    </w:p>
    <w:p>
      <w:pPr>
        <w:pStyle w:val="BodyText"/>
      </w:pPr>
      <w:r>
        <w:t xml:space="preserve">Подключаемся к узлу PC3 и проверяем настройки сети (Рис. 12.12).</w:t>
      </w:r>
    </w:p>
    <w:p>
      <w:pPr>
        <w:pStyle w:val="CaptionedFigure"/>
      </w:pPr>
      <w:r>
        <w:drawing>
          <wp:inline>
            <wp:extent cx="3619233" cy="5422455"/>
            <wp:effectExtent b="0" l="0" r="0" t="0"/>
            <wp:docPr descr="Проверка настроек сети PC3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233" cy="542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настроек сети PC3</w:t>
      </w:r>
    </w:p>
    <w:p>
      <w:pPr>
        <w:pStyle w:val="BodyText"/>
      </w:pPr>
      <w:r>
        <w:t xml:space="preserve">На узле PC3 получаем адрес по DHCPv6.</w:t>
      </w:r>
      <w:r>
        <w:t xml:space="preserve"> </w:t>
      </w:r>
      <w:r>
        <w:t xml:space="preserve">Вновь на узле PC3 проверяем настройки сети, пингуем маршрутизатор, проверяем настройки DNS (Рис. 12.13).</w:t>
      </w:r>
    </w:p>
    <w:p>
      <w:pPr>
        <w:pStyle w:val="CaptionedFigure"/>
      </w:pPr>
      <w:r>
        <w:drawing>
          <wp:inline>
            <wp:extent cx="3600050" cy="6950718"/>
            <wp:effectExtent b="0" l="0" r="0" t="0"/>
            <wp:docPr descr="Проверка сети PC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50" cy="6950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сети PC3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настройки службы DHCP на сетевом оборудовании для распределения адресов IPv4 и IPv6.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2025-12-04T17:53:58Z</dcterms:created>
  <dcterms:modified xsi:type="dcterms:W3CDTF">2025-12-04T17:53:58Z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7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