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</w:p>
    <w:p>
      <w:pPr>
        <w:pStyle w:val="Subtitle"/>
      </w:pPr>
      <w:r>
        <w:t xml:space="preserve">Номер</w:t>
      </w:r>
      <w:r>
        <w:t xml:space="preserve"> </w:t>
      </w:r>
      <w:r>
        <w:t xml:space="preserve">2</w:t>
      </w:r>
    </w:p>
    <w:p>
      <w:pPr>
        <w:pStyle w:val="Author"/>
      </w:pPr>
      <w:r>
        <w:t xml:space="preserve">Кобзев</w:t>
      </w:r>
      <w:r>
        <w:t xml:space="preserve"> </w:t>
      </w:r>
      <w:r>
        <w:t xml:space="preserve">Д.</w:t>
      </w:r>
      <w:r>
        <w:t xml:space="preserve"> </w:t>
      </w:r>
      <w:r>
        <w:t xml:space="preserve">К.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знакомство с инструментом для измерения пропускной способности сети в режиме реального времени — iPerf3, а также получение навыков проведения интерактивного эксперимента по измерению пропускной способности моделируемой сети в среде Mininet.</w:t>
      </w:r>
    </w:p>
    <w:bookmarkEnd w:id="20"/>
    <w:bookmarkStart w:id="5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Запускаем виртуальную среду с Mininet.</w:t>
      </w:r>
      <w:r>
        <w:t xml:space="preserve"> </w:t>
      </w:r>
      <w:r>
        <w:t xml:space="preserve">Из основной ОС подключаемся к виртуальной машине.</w:t>
      </w:r>
      <w:r>
        <w:t xml:space="preserve"> </w:t>
      </w:r>
      <w:r>
        <w:t xml:space="preserve">После подключения к виртуальной машине mininet смотрим IP-адреса машины.</w:t>
      </w:r>
      <w:r>
        <w:t xml:space="preserve"> </w:t>
      </w:r>
      <w:r>
        <w:t xml:space="preserve">Обновляем репозитории программного обеспечения на виртуальной машине (Рис. 1.1).</w:t>
      </w:r>
    </w:p>
    <w:p>
      <w:pPr>
        <w:pStyle w:val="CaptionedFigure"/>
      </w:pPr>
      <w:r>
        <w:drawing>
          <wp:inline>
            <wp:extent cx="5334000" cy="4705414"/>
            <wp:effectExtent b="0" l="0" r="0" t="0"/>
            <wp:docPr descr="Установка необходимого программного обеспечения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5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необходимого программного обеспечения</w:t>
      </w:r>
    </w:p>
    <w:p>
      <w:pPr>
        <w:pStyle w:val="BodyText"/>
      </w:pPr>
      <w:r>
        <w:t xml:space="preserve">Устанавливаем iperf3.</w:t>
      </w:r>
      <w:r>
        <w:t xml:space="preserve"> </w:t>
      </w:r>
      <w:r>
        <w:t xml:space="preserve">Устанавливаем необходимое дополнительное программное обеспечение на виртуальную машину (Рис. 1.2).</w:t>
      </w:r>
    </w:p>
    <w:p>
      <w:pPr>
        <w:pStyle w:val="CaptionedFigure"/>
      </w:pPr>
      <w:r>
        <w:drawing>
          <wp:inline>
            <wp:extent cx="5334000" cy="4489842"/>
            <wp:effectExtent b="0" l="0" r="0" t="0"/>
            <wp:docPr descr="Установка необходимого программного обеспечения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9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необходимого программного обеспечения</w:t>
      </w:r>
    </w:p>
    <w:p>
      <w:pPr>
        <w:pStyle w:val="BodyText"/>
      </w:pPr>
      <w:r>
        <w:t xml:space="preserve">Разворачиваем iperf3_plotter. Для этого переходим во временный каталог и скачиваем репозиторий, устанавливаем iperf3_plotter (Рис. 1.3).</w:t>
      </w:r>
    </w:p>
    <w:p>
      <w:pPr>
        <w:pStyle w:val="CaptionedFigure"/>
      </w:pPr>
      <w:r>
        <w:drawing>
          <wp:inline>
            <wp:extent cx="5334000" cy="3518060"/>
            <wp:effectExtent b="0" l="0" r="0" t="0"/>
            <wp:docPr descr="Установка необходимого программного обеспечения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необходимого программного обеспечения</w:t>
      </w:r>
    </w:p>
    <w:p>
      <w:pPr>
        <w:pStyle w:val="BodyText"/>
      </w:pPr>
      <w:r>
        <w:t xml:space="preserve">Задаем простейшую топологию, состоящую из двух хостов и коммутатора с назначенной по умолчанию mininet сетью 10.0.0.0/8.</w:t>
      </w:r>
      <w:r>
        <w:t xml:space="preserve"> </w:t>
      </w:r>
      <w:r>
        <w:t xml:space="preserve">В терминале виртуальной машины смотрим параметры запущенной в интерактивном режиме топологии (Рис. 1.4).</w:t>
      </w:r>
    </w:p>
    <w:p>
      <w:pPr>
        <w:pStyle w:val="CaptionedFigure"/>
      </w:pPr>
      <w:r>
        <w:drawing>
          <wp:inline>
            <wp:extent cx="5334000" cy="6152609"/>
            <wp:effectExtent b="0" l="0" r="0" t="0"/>
            <wp:docPr descr="Интерактивные эксперименты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52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Интерактивные эксперименты</w:t>
      </w:r>
    </w:p>
    <w:p>
      <w:pPr>
        <w:pStyle w:val="BodyText"/>
      </w:pPr>
      <w:r>
        <w:t xml:space="preserve">Проводим простейший интерактивный эксперимент по измерению пропускной способности с помощью iPerf3: В терминале h2 запускаем сервер iPerf3, в терминале хоста h1 запускаем клиент iPerf3 (Рис. 1.5).</w:t>
      </w:r>
    </w:p>
    <w:p>
      <w:pPr>
        <w:pStyle w:val="CaptionedFigure"/>
      </w:pPr>
      <w:r>
        <w:drawing>
          <wp:inline>
            <wp:extent cx="5334000" cy="1590023"/>
            <wp:effectExtent b="0" l="0" r="0" t="0"/>
            <wp:docPr descr="Интерактивные эксперименты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0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Интерактивные эксперименты</w:t>
      </w:r>
    </w:p>
    <w:p>
      <w:pPr>
        <w:pStyle w:val="BodyText"/>
      </w:pPr>
      <w:r>
        <w:t xml:space="preserve">Проведим аналогичный эксперимент в интерфейсе mininet.</w:t>
      </w:r>
      <w:r>
        <w:t xml:space="preserve"> </w:t>
      </w:r>
      <w:r>
        <w:t xml:space="preserve">Запускаем сервер iPerf3 на хосте h2. Запускаем клиент iPerf3 на хосте h1.</w:t>
      </w:r>
      <w:r>
        <w:t xml:space="preserve"> </w:t>
      </w:r>
      <w:r>
        <w:t xml:space="preserve">Останавливаем серверный процесс(Рис. 1.6).</w:t>
      </w:r>
    </w:p>
    <w:p>
      <w:pPr>
        <w:pStyle w:val="CaptionedFigure"/>
      </w:pPr>
      <w:r>
        <w:drawing>
          <wp:inline>
            <wp:extent cx="5334000" cy="3846945"/>
            <wp:effectExtent b="0" l="0" r="0" t="0"/>
            <wp:docPr descr="Интерактивные эксперименты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6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Интерактивные эксперименты</w:t>
      </w:r>
    </w:p>
    <w:p>
      <w:pPr>
        <w:pStyle w:val="BodyText"/>
      </w:pPr>
      <w:r>
        <w:t xml:space="preserve">Для указания iPerf3 периода времени для передачи используем ключ -t.</w:t>
      </w:r>
      <w:r>
        <w:t xml:space="preserve"> </w:t>
      </w:r>
      <w:r>
        <w:t xml:space="preserve">Настраиваем клиент iPerf3 для выполнения теста пропускной способности с 2-секундным интервалом времени отсчёта как на клиенте, так и на сервере. Используем опцию -i для установки интервала между отсчётами, измеряемого в секундах.</w:t>
      </w:r>
      <w:r>
        <w:t xml:space="preserve"> </w:t>
      </w:r>
      <w:r>
        <w:t xml:space="preserve">Задаем на клиенте iPerf3 отправку определённого объёма данных. Используем опцию -n для установки количества байт для передачи (Рис. 1.7).</w:t>
      </w:r>
    </w:p>
    <w:p>
      <w:pPr>
        <w:pStyle w:val="CaptionedFigure"/>
      </w:pPr>
      <w:r>
        <w:drawing>
          <wp:inline>
            <wp:extent cx="5334000" cy="3274978"/>
            <wp:effectExtent b="0" l="0" r="0" t="0"/>
            <wp:docPr descr="Интерактивные эксперименты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4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Интерактивные эксперименты</w:t>
      </w:r>
    </w:p>
    <w:p>
      <w:pPr>
        <w:pStyle w:val="BodyText"/>
      </w:pPr>
      <w:r>
        <w:t xml:space="preserve">Изменяем в тесте измерения пропускной способности iPerf3 протокол передачи данных с TCP на UDP. Для изменения протокола используем опцию -u на стороне клиента iPerf3.</w:t>
      </w:r>
      <w:r>
        <w:t xml:space="preserve"> </w:t>
      </w:r>
      <w:r>
        <w:t xml:space="preserve">В тесте измерения пропускной способности iPerf3 изменяем номер порта для отправки/получения пакетов или датаграмм через указанный порт. Используем для этого опцию -p. </w:t>
      </w:r>
      <w:r>
        <w:t xml:space="preserve"> </w:t>
      </w:r>
      <w:r>
        <w:t xml:space="preserve">В тесте измерения пропускной способности iPerf3 задаем для сервера параметр обработки данных только от одного клиента с остановкой сервера по завершении теста. Для этого используем опцию -1 на сервере iPerf3.</w:t>
      </w:r>
      <w:r>
        <w:t xml:space="preserve"> </w:t>
      </w:r>
      <w:r>
        <w:t xml:space="preserve">Экспортируем результаты теста измерения пропускной способности iPerf3 в файл JSON (Рис. 1.8).</w:t>
      </w:r>
    </w:p>
    <w:p>
      <w:pPr>
        <w:pStyle w:val="CaptionedFigure"/>
      </w:pPr>
      <w:r>
        <w:drawing>
          <wp:inline>
            <wp:extent cx="5334000" cy="5429820"/>
            <wp:effectExtent b="0" l="0" r="0" t="0"/>
            <wp:docPr descr="Интерактивные эксперименты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29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Интерактивные эксперименты</w:t>
      </w:r>
    </w:p>
    <w:p>
      <w:pPr>
        <w:pStyle w:val="BodyText"/>
      </w:pPr>
      <w:r>
        <w:t xml:space="preserve">Экспортируем вывод результатов теста в файл, перенаправив стандартный вывод в файл.</w:t>
      </w:r>
      <w:r>
        <w:t xml:space="preserve"> </w:t>
      </w:r>
      <w:r>
        <w:t xml:space="preserve">Убеждаемся, что файл iperf_results.json создан в указанном каталоге(Рис. 1.9).</w:t>
      </w:r>
    </w:p>
    <w:p>
      <w:pPr>
        <w:pStyle w:val="CaptionedFigure"/>
      </w:pPr>
      <w:r>
        <w:drawing>
          <wp:inline>
            <wp:extent cx="5334000" cy="803447"/>
            <wp:effectExtent b="0" l="0" r="0" t="0"/>
            <wp:docPr descr="Интерактивные эксперименты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3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Интерактивные эксперименты</w:t>
      </w:r>
    </w:p>
    <w:p>
      <w:pPr>
        <w:pStyle w:val="BodyText"/>
      </w:pPr>
      <w:r>
        <w:t xml:space="preserve">В виртуальной машине mininet исправляем права запуска X-соединения.</w:t>
      </w:r>
      <w:r>
        <w:t xml:space="preserve"> </w:t>
      </w:r>
      <w:r>
        <w:t xml:space="preserve">В виртуальной машине mininet переходим в каталог для работы над проектом, проверяем и при корректируем права доступа к файлу JSON.</w:t>
      </w:r>
      <w:r>
        <w:t xml:space="preserve"> </w:t>
      </w:r>
      <w:r>
        <w:t xml:space="preserve">Генерируем выходные данные для файла JSON iPerf3.</w:t>
      </w:r>
      <w:r>
        <w:t xml:space="preserve"> </w:t>
      </w:r>
      <w:r>
        <w:t xml:space="preserve">Убеждаемся, что файлы с данными и графиками сформировались (Рис. 1.10).</w:t>
      </w:r>
    </w:p>
    <w:p>
      <w:pPr>
        <w:pStyle w:val="CaptionedFigure"/>
      </w:pPr>
      <w:r>
        <w:drawing>
          <wp:inline>
            <wp:extent cx="5334000" cy="3573137"/>
            <wp:effectExtent b="0" l="0" r="0" t="0"/>
            <wp:docPr descr="Интерактивные эксперименты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3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Интерактивные эксперименты</w:t>
      </w:r>
    </w:p>
    <w:bookmarkEnd w:id="51"/>
    <w:bookmarkStart w:id="52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я был знакомлен с инструментом для измерения пропускной способности сети в режиме реального времени — iPerf3, а также получил навыки проведения интерактивного эксперимента по измерению пропускной способности моделируемой сети в среде Mininet.</w:t>
      </w:r>
    </w:p>
    <w:bookmarkEnd w:id="52"/>
    <w:bookmarkStart w:id="53" w:name="список-литературы"/>
    <w:p>
      <w:pPr>
        <w:pStyle w:val="Heading1"/>
      </w:pPr>
      <w:r>
        <w:t xml:space="preserve">Список литературы</w:t>
      </w:r>
    </w:p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</dc:title>
  <dc:creator>Кобзев Д. К.</dc:creator>
  <dc:language>ru-RU</dc:language>
  <cp:keywords/>
  <dcterms:created xsi:type="dcterms:W3CDTF">2026-09-24T08:45:20Z</dcterms:created>
  <dcterms:modified xsi:type="dcterms:W3CDTF">2026-09-24T08:45:20Z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iography">
    <vt:lpwstr>bib/cite.bib</vt:lpwstr>
  </property>
  <property fmtid="{D5CDD505-2E9C-101B-9397-08002B2CF9AE}" pid="7" name="ccsDelim">
    <vt:lpwstr>, </vt:lpwstr>
  </property>
  <property fmtid="{D5CDD505-2E9C-101B-9397-08002B2CF9AE}" pid="8" name="ccsLabelSep">
    <vt:lpwstr> — </vt:lpwstr>
  </property>
  <property fmtid="{D5CDD505-2E9C-101B-9397-08002B2CF9AE}" pid="9" name="ccsTemplate">
    <vt:lpwstr>iccsLabelSept</vt:lpwstr>
  </property>
  <property fmtid="{D5CDD505-2E9C-101B-9397-08002B2CF9AE}" pid="10" name="chapDelim">
    <vt:lpwstr>.</vt:lpwstr>
  </property>
  <property fmtid="{D5CDD505-2E9C-101B-9397-08002B2CF9AE}" pid="11" name="chapters">
    <vt:lpwstr>False</vt:lpwstr>
  </property>
  <property fmtid="{D5CDD505-2E9C-101B-9397-08002B2CF9AE}" pid="12" name="chaptersDepth">
    <vt:lpwstr>1</vt:lpwstr>
  </property>
  <property fmtid="{D5CDD505-2E9C-101B-9397-08002B2CF9AE}" pid="13" name="codeBlockCaptions">
    <vt:lpwstr>False</vt:lpwstr>
  </property>
  <property fmtid="{D5CDD505-2E9C-101B-9397-08002B2CF9AE}" pid="14" name="cref">
    <vt:lpwstr>False</vt:lpwstr>
  </property>
  <property fmtid="{D5CDD505-2E9C-101B-9397-08002B2CF9AE}" pid="15" name="crossrefYaml">
    <vt:lpwstr>pandoc-crossref.yaml</vt:lpwstr>
  </property>
  <property fmtid="{D5CDD505-2E9C-101B-9397-08002B2CF9AE}" pid="16" name="csl">
    <vt:lpwstr>/home/dkkobzev/pandoc/csl/gost-r-7-0-5-2008-numeric.csl</vt:lpwstr>
  </property>
  <property fmtid="{D5CDD505-2E9C-101B-9397-08002B2CF9AE}" pid="17" name="documentclass">
    <vt:lpwstr>scrreprt</vt:lpwstr>
  </property>
  <property fmtid="{D5CDD505-2E9C-101B-9397-08002B2CF9AE}" pid="18" name="eqLabels">
    <vt:lpwstr>arabic</vt:lpwstr>
  </property>
  <property fmtid="{D5CDD505-2E9C-101B-9397-08002B2CF9AE}" pid="19" name="eqnBlockInlineMath">
    <vt:lpwstr>False</vt:lpwstr>
  </property>
  <property fmtid="{D5CDD505-2E9C-101B-9397-08002B2CF9AE}" pid="20" name="eqnBlockTemplate">
    <vt:lpwstr>ti</vt:lpwstr>
  </property>
  <property fmtid="{D5CDD505-2E9C-101B-9397-08002B2CF9AE}" pid="21" name="eqnIndexTemplate">
    <vt:lpwstr>(i)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Рис.</vt:lpwstr>
  </property>
  <property fmtid="{D5CDD505-2E9C-101B-9397-08002B2CF9AE}" pid="31" name="fontsize">
    <vt:lpwstr>12pt</vt:lpwstr>
  </property>
  <property fmtid="{D5CDD505-2E9C-101B-9397-08002B2CF9AE}" pid="32" name="header-includes">
    <vt:lpwstr/>
  </property>
  <property fmtid="{D5CDD505-2E9C-101B-9397-08002B2CF9AE}" pid="33" name="indent">
    <vt:lpwstr>True</vt:lpwstr>
  </property>
  <property fmtid="{D5CDD505-2E9C-101B-9397-08002B2CF9AE}" pid="34" name="lastDelim">
    <vt:lpwstr>, </vt:lpwstr>
  </property>
  <property fmtid="{D5CDD505-2E9C-101B-9397-08002B2CF9AE}" pid="35" name="linestretch">
    <vt:lpwstr>1.5</vt:lpwstr>
  </property>
  <property fmtid="{D5CDD505-2E9C-101B-9397-08002B2CF9AE}" pid="36" name="linkReferences">
    <vt:lpwstr>False</vt:lpwstr>
  </property>
  <property fmtid="{D5CDD505-2E9C-101B-9397-08002B2CF9AE}" pid="37" name="listItemTitleDelim">
    <vt:lpwstr>.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Листинг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ItemTemplate">
    <vt:lpwstr>lofItemTitleilistItemTitleDelimt </vt:lpwstr>
  </property>
  <property fmtid="{D5CDD505-2E9C-101B-9397-08002B2CF9AE}" pid="43" name="lofItemTitle">
    <vt:lpwstr/>
  </property>
  <property fmtid="{D5CDD505-2E9C-101B-9397-08002B2CF9AE}" pid="44" name="lofTitle">
    <vt:lpwstr>Список иллюстраций</vt:lpwstr>
  </property>
  <property fmtid="{D5CDD505-2E9C-101B-9397-08002B2CF9AE}" pid="45" name="lolItemTemplate">
    <vt:lpwstr>lolItemTitleilistItemTitleDelimt </vt:lpwstr>
  </property>
  <property fmtid="{D5CDD505-2E9C-101B-9397-08002B2CF9AE}" pid="46" name="lolItemTitle">
    <vt:lpwstr/>
  </property>
  <property fmtid="{D5CDD505-2E9C-101B-9397-08002B2CF9AE}" pid="47" name="lolTitle">
    <vt:lpwstr>Листинги</vt:lpwstr>
  </property>
  <property fmtid="{D5CDD505-2E9C-101B-9397-08002B2CF9AE}" pid="48" name="lot">
    <vt:lpwstr>True</vt:lpwstr>
  </property>
  <property fmtid="{D5CDD505-2E9C-101B-9397-08002B2CF9AE}" pid="49" name="lotItemTemplate">
    <vt:lpwstr>lotItemTitleilistItemTitleDelimt </vt:lpwstr>
  </property>
  <property fmtid="{D5CDD505-2E9C-101B-9397-08002B2CF9AE}" pid="50" name="lotItemTitle">
    <vt:lpwstr/>
  </property>
  <property fmtid="{D5CDD505-2E9C-101B-9397-08002B2CF9AE}" pid="51" name="lotTitle">
    <vt:lpwstr>Список таблиц</vt:lpwstr>
  </property>
  <property fmtid="{D5CDD505-2E9C-101B-9397-08002B2CF9AE}" pid="52" name="lstLabels">
    <vt:lpwstr>arabic</vt:lpwstr>
  </property>
  <property fmtid="{D5CDD505-2E9C-101B-9397-08002B2CF9AE}" pid="53" name="lstPrefix">
    <vt:lpwstr/>
  </property>
  <property fmtid="{D5CDD505-2E9C-101B-9397-08002B2CF9AE}" pid="54" name="lstPrefixTemplate">
    <vt:lpwstr>p i</vt:lpwstr>
  </property>
  <property fmtid="{D5CDD505-2E9C-101B-9397-08002B2CF9AE}" pid="55" name="mainfont">
    <vt:lpwstr>Liberation Serif</vt:lpwstr>
  </property>
  <property fmtid="{D5CDD505-2E9C-101B-9397-08002B2CF9AE}" pid="56" name="mainfontoptions">
    <vt:lpwstr>Ligatures=Common,Ligatures=TeX,Scale=0.94</vt:lpwstr>
  </property>
  <property fmtid="{D5CDD505-2E9C-101B-9397-08002B2CF9AE}" pid="57" name="monofont">
    <vt:lpwstr>Liberation Mono</vt:lpwstr>
  </property>
  <property fmtid="{D5CDD505-2E9C-101B-9397-08002B2CF9AE}" pid="58" name="monofontoptions">
    <vt:lpwstr>Scale=MatchLowercase,Scale=0.94,FakeStretch=0.9</vt:lpwstr>
  </property>
  <property fmtid="{D5CDD505-2E9C-101B-9397-08002B2CF9AE}" pid="59" name="nameInLink">
    <vt:lpwstr>False</vt:lpwstr>
  </property>
  <property fmtid="{D5CDD505-2E9C-101B-9397-08002B2CF9AE}" pid="60" name="numberSections">
    <vt:lpwstr>False</vt:lpwstr>
  </property>
  <property fmtid="{D5CDD505-2E9C-101B-9397-08002B2CF9AE}" pid="61" name="pairDelim">
    <vt:lpwstr>, </vt:lpwstr>
  </property>
  <property fmtid="{D5CDD505-2E9C-101B-9397-08002B2CF9AE}" pid="62" name="papersize">
    <vt:lpwstr>a4</vt:lpwstr>
  </property>
  <property fmtid="{D5CDD505-2E9C-101B-9397-08002B2CF9AE}" pid="63" name="polyglossia-lang">
    <vt:lpwstr/>
  </property>
  <property fmtid="{D5CDD505-2E9C-101B-9397-08002B2CF9AE}" pid="64" name="polyglossia-otherlangs">
    <vt:lpwstr/>
  </property>
  <property fmtid="{D5CDD505-2E9C-101B-9397-08002B2CF9AE}" pid="65" name="rangeDelim">
    <vt:lpwstr>-</vt:lpwstr>
  </property>
  <property fmtid="{D5CDD505-2E9C-101B-9397-08002B2CF9AE}" pid="66" name="refDelim">
    <vt:lpwstr>, </vt:lpwstr>
  </property>
  <property fmtid="{D5CDD505-2E9C-101B-9397-08002B2CF9AE}" pid="67" name="refIndexTemplate">
    <vt:lpwstr>isuf</vt:lpwstr>
  </property>
  <property fmtid="{D5CDD505-2E9C-101B-9397-08002B2CF9AE}" pid="68" name="romanfont">
    <vt:lpwstr>Liberation Serif</vt:lpwstr>
  </property>
  <property fmtid="{D5CDD505-2E9C-101B-9397-08002B2CF9AE}" pid="69" name="romanfontoptions">
    <vt:lpwstr>Ligatures=Common,Ligatures=TeX,Scale=0.94</vt:lpwstr>
  </property>
  <property fmtid="{D5CDD505-2E9C-101B-9397-08002B2CF9AE}" pid="70" name="sansfont">
    <vt:lpwstr>Liberation Sans</vt:lpwstr>
  </property>
  <property fmtid="{D5CDD505-2E9C-101B-9397-08002B2CF9AE}" pid="71" name="sansfontoptions">
    <vt:lpwstr>Ligatures=Common,Ligatures=TeX,Scale=MatchLowercase,Scale=0.94</vt:lpwstr>
  </property>
  <property fmtid="{D5CDD505-2E9C-101B-9397-08002B2CF9AE}" pid="72" name="secHeaderDelim">
    <vt:lpwstr> </vt:lpwstr>
  </property>
  <property fmtid="{D5CDD505-2E9C-101B-9397-08002B2CF9AE}" pid="73" name="secHeaderTemplate">
    <vt:lpwstr>isecHeaderDelim[n]t</vt:lpwstr>
  </property>
  <property fmtid="{D5CDD505-2E9C-101B-9397-08002B2CF9AE}" pid="74" name="secLabels">
    <vt:lpwstr>arabic</vt:lpwstr>
  </property>
  <property fmtid="{D5CDD505-2E9C-101B-9397-08002B2CF9AE}" pid="75" name="secPrefix">
    <vt:lpwstr/>
  </property>
  <property fmtid="{D5CDD505-2E9C-101B-9397-08002B2CF9AE}" pid="76" name="secPrefixTemplate">
    <vt:lpwstr>p i</vt:lpwstr>
  </property>
  <property fmtid="{D5CDD505-2E9C-101B-9397-08002B2CF9AE}" pid="77" name="sectionsDepth">
    <vt:lpwstr>0</vt:lpwstr>
  </property>
  <property fmtid="{D5CDD505-2E9C-101B-9397-08002B2CF9AE}" pid="78" name="subfigGrid">
    <vt:lpwstr>False</vt:lpwstr>
  </property>
  <property fmtid="{D5CDD505-2E9C-101B-9397-08002B2CF9AE}" pid="79" name="subfigLabels">
    <vt:lpwstr>alpha a</vt:lpwstr>
  </property>
  <property fmtid="{D5CDD505-2E9C-101B-9397-08002B2CF9AE}" pid="80" name="subfigureChildTemplate">
    <vt:lpwstr>i</vt:lpwstr>
  </property>
  <property fmtid="{D5CDD505-2E9C-101B-9397-08002B2CF9AE}" pid="81" name="subfigureRefIndexTemplate">
    <vt:lpwstr>isuf (s)</vt:lpwstr>
  </property>
  <property fmtid="{D5CDD505-2E9C-101B-9397-08002B2CF9AE}" pid="82" name="subfigureTemplate">
    <vt:lpwstr>figureTitle ititleDelim t. ccs</vt:lpwstr>
  </property>
  <property fmtid="{D5CDD505-2E9C-101B-9397-08002B2CF9AE}" pid="83" name="subtitle">
    <vt:lpwstr>Номер 2</vt:lpwstr>
  </property>
  <property fmtid="{D5CDD505-2E9C-101B-9397-08002B2CF9AE}" pid="84" name="tableEqns">
    <vt:lpwstr>False</vt:lpwstr>
  </property>
  <property fmtid="{D5CDD505-2E9C-101B-9397-08002B2CF9AE}" pid="85" name="tableTemplate">
    <vt:lpwstr>tableTitle ititleDelim t</vt:lpwstr>
  </property>
  <property fmtid="{D5CDD505-2E9C-101B-9397-08002B2CF9AE}" pid="86" name="tableTitle">
    <vt:lpwstr>Таблица</vt:lpwstr>
  </property>
  <property fmtid="{D5CDD505-2E9C-101B-9397-08002B2CF9AE}" pid="87" name="tblLabels">
    <vt:lpwstr>arabic</vt:lpwstr>
  </property>
  <property fmtid="{D5CDD505-2E9C-101B-9397-08002B2CF9AE}" pid="88" name="tblPrefix">
    <vt:lpwstr/>
  </property>
  <property fmtid="{D5CDD505-2E9C-101B-9397-08002B2CF9AE}" pid="89" name="tblPrefixTemplate">
    <vt:lpwstr>p i</vt:lpwstr>
  </property>
  <property fmtid="{D5CDD505-2E9C-101B-9397-08002B2CF9AE}" pid="90" name="titleDelim">
    <vt:lpwstr>:</vt:lpwstr>
  </property>
  <property fmtid="{D5CDD505-2E9C-101B-9397-08002B2CF9AE}" pid="91" name="toc">
    <vt:lpwstr>True</vt:lpwstr>
  </property>
  <property fmtid="{D5CDD505-2E9C-101B-9397-08002B2CF9AE}" pid="92" name="toc-depth">
    <vt:lpwstr>2</vt:lpwstr>
  </property>
  <property fmtid="{D5CDD505-2E9C-101B-9397-08002B2CF9AE}" pid="93" name="toc-title">
    <vt:lpwstr>Содержание</vt:lpwstr>
  </property>
</Properties>
</file>