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</w:p>
    <w:p>
      <w:pPr>
        <w:pStyle w:val="Subtitle"/>
      </w:pPr>
      <w:r>
        <w:t xml:space="preserve">Номер</w:t>
      </w:r>
      <w:r>
        <w:t xml:space="preserve"> </w:t>
      </w:r>
      <w:r>
        <w:t xml:space="preserve">5</w:t>
      </w:r>
    </w:p>
    <w:p>
      <w:pPr>
        <w:pStyle w:val="Author"/>
      </w:pPr>
      <w:r>
        <w:t xml:space="preserve">Кобзев</w:t>
      </w:r>
      <w:r>
        <w:t xml:space="preserve"> </w:t>
      </w:r>
      <w:r>
        <w:t xml:space="preserve">Д.</w:t>
      </w:r>
      <w:r>
        <w:t xml:space="preserve"> </w:t>
      </w:r>
      <w:r>
        <w:t xml:space="preserve">К.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получение навыков проведения интерактивных экспериментов в среде Mininet по исследованию параметров сети, связанных с потерей, дублированием, изменением порядка и повреждением пакетов при передаче данных. Эти параметры влияют на производительность протоколов и сетей.</w:t>
      </w:r>
    </w:p>
    <w:bookmarkEnd w:id="20"/>
    <w:bookmarkStart w:id="5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Запускаем виртуальную среду с mininet.</w:t>
      </w:r>
      <w:r>
        <w:t xml:space="preserve"> </w:t>
      </w:r>
      <w:r>
        <w:t xml:space="preserve">Из основной ОС подключаемся к виртуальной машине.</w:t>
      </w:r>
      <w:r>
        <w:t xml:space="preserve"> </w:t>
      </w:r>
      <w:r>
        <w:t xml:space="preserve">В виртуальной машине mininet исправляем права запуска X-соединения.</w:t>
      </w:r>
      <w:r>
        <w:t xml:space="preserve"> </w:t>
      </w:r>
      <w:r>
        <w:t xml:space="preserve">Задаем простейшую топологию, состоящую из двух хостов и коммутатора с назначенной по умолчанию mininet сетью 10.0.0.0/8.</w:t>
      </w:r>
      <w:r>
        <w:t xml:space="preserve"> </w:t>
      </w:r>
      <w:r>
        <w:t xml:space="preserve">На хостах h1 и h2 вводим команду ifconfig, чтобы отобразить информацию, относящуюся к их сетевым интерфейсам и назначенным им IP-адресам.</w:t>
      </w:r>
      <w:r>
        <w:t xml:space="preserve"> </w:t>
      </w:r>
      <w:r>
        <w:t xml:space="preserve">На хосте h1 добавляем 10% потерь пакетов к интерфейсу h1-eth0.</w:t>
      </w:r>
      <w:r>
        <w:t xml:space="preserve"> </w:t>
      </w:r>
      <w:r>
        <w:t xml:space="preserve">Проверяем, что на соединении от хоста h1 к хосту h2 имеются потери пакетов, используя команду ping с параметром -c 100 с хоста h1. (Рис. 1.1).</w:t>
      </w:r>
    </w:p>
    <w:p>
      <w:pPr>
        <w:pStyle w:val="CaptionedFigure"/>
      </w:pPr>
      <w:r>
        <w:drawing>
          <wp:inline>
            <wp:extent cx="5334000" cy="5089525"/>
            <wp:effectExtent b="0" l="0" r="0" t="0"/>
            <wp:docPr descr="Добавление потери пакетов на интерфейс, подключённый к эмулируемой глобальной сети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9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потери пакетов на интерфейс, подключённый к эмулируемой глобальной сети</w:t>
      </w:r>
    </w:p>
    <w:p>
      <w:pPr>
        <w:pStyle w:val="BodyText"/>
      </w:pPr>
      <w:r>
        <w:t xml:space="preserve">Для эмуляции глобальной сети с потерей пакетов в обоих направлениях добавляем к соответствующему интерфейсу на хосте h2 также 10% потерь пакетов.</w:t>
      </w:r>
      <w:r>
        <w:t xml:space="preserve"> </w:t>
      </w:r>
      <w:r>
        <w:t xml:space="preserve">Проверяем, что соединение между хостом h1 и хостом h2 имеет больший процент потерянных данных, повторив команду ping с параметром -c 100 на терминале хоста h1.</w:t>
      </w:r>
      <w:r>
        <w:t xml:space="preserve"> </w:t>
      </w:r>
      <w:r>
        <w:t xml:space="preserve">Восстанавливаем конфигурацию по умолчанию, удалив все правила, применённые к сетевому планировщику соответствующего интерфейса. Для отправителя h1 и для получателя h2.</w:t>
      </w:r>
      <w:r>
        <w:t xml:space="preserve"> </w:t>
      </w:r>
      <w:r>
        <w:t xml:space="preserve">Убеждаемся, что соединение от хоста h1 к хосту h2 не имеет явной потери пакетов, запустив команду ping с терминала хоста h1 (Рис. 1.2).</w:t>
      </w:r>
    </w:p>
    <w:p>
      <w:pPr>
        <w:pStyle w:val="CaptionedFigure"/>
      </w:pPr>
      <w:r>
        <w:drawing>
          <wp:inline>
            <wp:extent cx="5334000" cy="6197901"/>
            <wp:effectExtent b="0" l="0" r="0" t="0"/>
            <wp:docPr descr="Добавление потери пакетов на интерфейс, подключённый к эмулируемой глобальной сети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97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потери пакетов на интерфейс, подключённый к эмулируемой глобальной сети</w:t>
      </w:r>
    </w:p>
    <w:p>
      <w:pPr>
        <w:pStyle w:val="BodyText"/>
      </w:pPr>
      <w:r>
        <w:t xml:space="preserve">Добавляем на интерфейсе узла h1 коэффициент потери пакетов 50%, и каждая последующая вероятность зависит на 50% от последней.</w:t>
      </w:r>
      <w:r>
        <w:t xml:space="preserve"> </w:t>
      </w:r>
      <w:r>
        <w:t xml:space="preserve">Проверяем, что на соединении от хоста h1 к хосту h2 имеются потери пакетов,</w:t>
      </w:r>
      <w:r>
        <w:t xml:space="preserve"> </w:t>
      </w:r>
      <w:r>
        <w:t xml:space="preserve">используя команду ping с параметром -c 50 с хоста h1.</w:t>
      </w:r>
      <w:r>
        <w:t xml:space="preserve"> </w:t>
      </w:r>
      <w:r>
        <w:t xml:space="preserve">Восстанавливаем для узла h1 конфигурацию по умолчанию, удалив все правила, применённые к сетевому планировщику соответствующего интерфейса (Рис. 1.3).</w:t>
      </w:r>
    </w:p>
    <w:p>
      <w:pPr>
        <w:pStyle w:val="CaptionedFigure"/>
      </w:pPr>
      <w:r>
        <w:drawing>
          <wp:inline>
            <wp:extent cx="5334000" cy="4307051"/>
            <wp:effectExtent b="0" l="0" r="0" t="0"/>
            <wp:docPr descr="Добавление значения корреляции для потери пакетов в эмулируемой глобальной сети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7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значения корреляции для потери пакетов в эмулируемой глобальной сети</w:t>
      </w:r>
    </w:p>
    <w:p>
      <w:pPr>
        <w:pStyle w:val="BodyText"/>
      </w:pPr>
      <w:r>
        <w:t xml:space="preserve">Добавляем на интерфейсе узла h1 0,01% повреждения пакетов.</w:t>
      </w:r>
      <w:r>
        <w:t xml:space="preserve"> </w:t>
      </w:r>
      <w:r>
        <w:t xml:space="preserve">Проверяем конфигурацию с помощью инструмента iPerf3 для проверки повторных передач.</w:t>
      </w:r>
      <w:r>
        <w:t xml:space="preserve"> </w:t>
      </w:r>
      <w:r>
        <w:t xml:space="preserve">Восстанавливаем для узла h1 конфигурацию по умолчанию, удалив все правила,</w:t>
      </w:r>
      <w:r>
        <w:t xml:space="preserve"> </w:t>
      </w:r>
      <w:r>
        <w:t xml:space="preserve">применённые к сетевому планировщику соответствующего интерфейса (Рис. 1.4)</w:t>
      </w:r>
    </w:p>
    <w:p>
      <w:pPr>
        <w:pStyle w:val="CaptionedFigure"/>
      </w:pPr>
      <w:r>
        <w:drawing>
          <wp:inline>
            <wp:extent cx="5334000" cy="7674273"/>
            <wp:effectExtent b="0" l="0" r="0" t="0"/>
            <wp:docPr descr="Добавление повреждения пакетов в эмулируемой глобальной сети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74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повреждения пакетов в эмулируемой глобальной сети</w:t>
      </w:r>
    </w:p>
    <w:p>
      <w:pPr>
        <w:pStyle w:val="BodyText"/>
      </w:pPr>
      <w:r>
        <w:t xml:space="preserve">Добавляем на интерфейсе узла h1 следующее правило.</w:t>
      </w:r>
      <w:r>
        <w:t xml:space="preserve"> </w:t>
      </w:r>
      <w:r>
        <w:t xml:space="preserve">Проверяем, что на соединении от хоста h1 к хосту h2 имеются потери пакетов,</w:t>
      </w:r>
      <w:r>
        <w:t xml:space="preserve"> </w:t>
      </w:r>
      <w:r>
        <w:t xml:space="preserve">используя команду ping с параметром -c 20 с хоста h1.</w:t>
      </w:r>
      <w:r>
        <w:t xml:space="preserve"> </w:t>
      </w:r>
      <w:r>
        <w:t xml:space="preserve">Восстанавливаем конфигурацию интерфейса по умолчанию на узле h1 (Рис. 1.5).</w:t>
      </w:r>
    </w:p>
    <w:p>
      <w:pPr>
        <w:pStyle w:val="CaptionedFigure"/>
      </w:pPr>
      <w:r>
        <w:drawing>
          <wp:inline>
            <wp:extent cx="5334000" cy="4031719"/>
            <wp:effectExtent b="0" l="0" r="0" t="0"/>
            <wp:docPr descr="Добавление переупорядочивания пакетов в интерфейс подключения к эмулируемой глобальной сети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1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переупорядочивания пакетов в интерфейс подключения к эмулируемой глобальной сети</w:t>
      </w:r>
    </w:p>
    <w:p>
      <w:pPr>
        <w:pStyle w:val="BodyText"/>
      </w:pPr>
      <w:r>
        <w:t xml:space="preserve">Для интерфейса узла h1 задайм правило c дублированием 50% пакетов.</w:t>
      </w:r>
      <w:r>
        <w:t xml:space="preserve"> </w:t>
      </w:r>
      <w:r>
        <w:t xml:space="preserve">Проверяем, что на соединении от хоста h1 к хосту h2 имеются дублированные пакеты, используя команду ping с параметром -c 20 с хоста h1.</w:t>
      </w:r>
      <w:r>
        <w:t xml:space="preserve"> </w:t>
      </w:r>
      <w:r>
        <w:t xml:space="preserve">Восстанавливаем конфигурацию интерфейса по умолчанию на узле h1(Рис. 1.6).</w:t>
      </w:r>
    </w:p>
    <w:p>
      <w:pPr>
        <w:pStyle w:val="CaptionedFigure"/>
      </w:pPr>
      <w:r>
        <w:drawing>
          <wp:inline>
            <wp:extent cx="5334000" cy="5164421"/>
            <wp:effectExtent b="0" l="0" r="0" t="0"/>
            <wp:docPr descr="Добавление дублирования пакетов в интерфейс подключения к эмулируемой глобальной сети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64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дублирования пакетов в интерфейс подключения к эмулируемой глобальной сети</w:t>
      </w:r>
    </w:p>
    <w:p>
      <w:pPr>
        <w:pStyle w:val="BodyText"/>
      </w:pPr>
      <w:r>
        <w:t xml:space="preserve">В виртуальной среде mininet в своём рабочем каталоге с проектами создаем каталог simple-drop и переходим в него.</w:t>
      </w:r>
      <w:r>
        <w:t xml:space="preserve"> </w:t>
      </w:r>
      <w:r>
        <w:t xml:space="preserve">Создаем скрипт для эксперимента lab_netem_ii.py.</w:t>
      </w:r>
      <w:r>
        <w:t xml:space="preserve"> </w:t>
      </w:r>
      <w:r>
        <w:t xml:space="preserve">Создаем Makefile для управления процессом проведения эксперимента.</w:t>
      </w:r>
      <w:r>
        <w:t xml:space="preserve"> </w:t>
      </w:r>
      <w:r>
        <w:t xml:space="preserve">Выполняем эксперимент.</w:t>
      </w:r>
      <w:r>
        <w:t xml:space="preserve"> </w:t>
      </w:r>
      <w:r>
        <w:t xml:space="preserve">Очищаем каталог от результатов проведения экспериментов (Рис. 1.7).</w:t>
      </w:r>
    </w:p>
    <w:p>
      <w:pPr>
        <w:pStyle w:val="CaptionedFigure"/>
      </w:pPr>
      <w:r>
        <w:drawing>
          <wp:inline>
            <wp:extent cx="5334000" cy="6896062"/>
            <wp:effectExtent b="0" l="0" r="0" t="0"/>
            <wp:docPr descr="Воспроизведение экспериментов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96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Воспроизведение экспериментов</w:t>
      </w:r>
    </w:p>
    <w:p>
      <w:pPr>
        <w:pStyle w:val="BodyText"/>
      </w:pPr>
      <w:r>
        <w:t xml:space="preserve">Самостоятельно реализуем воспроизводимые эксперименты по исследованию параметров сети, связанных с потерей, (Рис. 1.8).</w:t>
      </w:r>
    </w:p>
    <w:p>
      <w:pPr>
        <w:pStyle w:val="CaptionedFigure"/>
      </w:pPr>
      <w:r>
        <w:drawing>
          <wp:inline>
            <wp:extent cx="5334000" cy="5804647"/>
            <wp:effectExtent b="0" l="0" r="0" t="0"/>
            <wp:docPr descr="Задание для самостоятельной работы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4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для самостоятельной работы</w:t>
      </w:r>
    </w:p>
    <w:p>
      <w:pPr>
        <w:pStyle w:val="BodyText"/>
      </w:pPr>
      <w:r>
        <w:t xml:space="preserve">изменением порядка (Рис. 1.9).</w:t>
      </w:r>
    </w:p>
    <w:p>
      <w:pPr>
        <w:pStyle w:val="CaptionedFigure"/>
      </w:pPr>
      <w:r>
        <w:drawing>
          <wp:inline>
            <wp:extent cx="5334000" cy="5778064"/>
            <wp:effectExtent b="0" l="0" r="0" t="0"/>
            <wp:docPr descr="Задание для самостоятельной работы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78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для самостоятельной работы</w:t>
      </w:r>
    </w:p>
    <w:p>
      <w:pPr>
        <w:pStyle w:val="BodyText"/>
      </w:pPr>
      <w:r>
        <w:t xml:space="preserve">и повреждением пакетов при передаче данных (Рис. 1.10).</w:t>
      </w:r>
    </w:p>
    <w:p>
      <w:pPr>
        <w:pStyle w:val="CaptionedFigure"/>
      </w:pPr>
      <w:r>
        <w:drawing>
          <wp:inline>
            <wp:extent cx="5334000" cy="6169068"/>
            <wp:effectExtent b="0" l="0" r="0" t="0"/>
            <wp:docPr descr="Задание для самостоятельной работы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69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для самостоятельной работы</w:t>
      </w:r>
    </w:p>
    <w:bookmarkEnd w:id="51"/>
    <w:bookmarkStart w:id="5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мною были получены навыки проведения интерактивных экспериментов в среде Mininet по исследованию параметров сети, связанных с потерей, дублированием, изменением порядка и повреждением пакетов при передаче данных. Эти параметры влияют на производительность протоколов и сетей.</w:t>
      </w:r>
    </w:p>
    <w:bookmarkEnd w:id="52"/>
    <w:bookmarkStart w:id="53" w:name="список-литературы"/>
    <w:p>
      <w:pPr>
        <w:pStyle w:val="Heading1"/>
      </w:pPr>
      <w:r>
        <w:t xml:space="preserve">Список литературы</w:t>
      </w:r>
    </w:p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</dc:title>
  <dc:creator>Кобзев Д. К.</dc:creator>
  <dc:language>ru-RU</dc:language>
  <cp:keywords/>
  <dcterms:created xsi:type="dcterms:W3CDTF">2026-10-14T14:20:22Z</dcterms:created>
  <dcterms:modified xsi:type="dcterms:W3CDTF">2026-10-14T14:20:22Z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bib/cite.bib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csl">
    <vt:lpwstr>/home/dkkobzev/pandoc/csl/gost-r-7-0-5-2008-numeric.csl</vt:lpwstr>
  </property>
  <property fmtid="{D5CDD505-2E9C-101B-9397-08002B2CF9AE}" pid="17" name="documentclass">
    <vt:lpwstr>scrreprt</vt:lpwstr>
  </property>
  <property fmtid="{D5CDD505-2E9C-101B-9397-08002B2CF9AE}" pid="18" name="eqLabels">
    <vt:lpwstr>arabic</vt:lpwstr>
  </property>
  <property fmtid="{D5CDD505-2E9C-101B-9397-08002B2CF9AE}" pid="19" name="eqnBlockInlineMath">
    <vt:lpwstr>False</vt:lpwstr>
  </property>
  <property fmtid="{D5CDD505-2E9C-101B-9397-08002B2CF9AE}" pid="20" name="eqnBlockTemplate">
    <vt:lpwstr>ti</vt:lpwstr>
  </property>
  <property fmtid="{D5CDD505-2E9C-101B-9397-08002B2CF9AE}" pid="21" name="eqnIndexTemplate">
    <vt:lpwstr>(i)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Листинг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Список иллюстраций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Листинги</vt:lpwstr>
  </property>
  <property fmtid="{D5CDD505-2E9C-101B-9397-08002B2CF9AE}" pid="48" name="lot">
    <vt:lpwstr>True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Список таблиц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Liberation Serif</vt:lpwstr>
  </property>
  <property fmtid="{D5CDD505-2E9C-101B-9397-08002B2CF9AE}" pid="56" name="mainfontoptions">
    <vt:lpwstr>Ligatures=Common,Ligatures=TeX,Scale=0.94</vt:lpwstr>
  </property>
  <property fmtid="{D5CDD505-2E9C-101B-9397-08002B2CF9AE}" pid="57" name="monofont">
    <vt:lpwstr>Liberation Mono</vt:lpwstr>
  </property>
  <property fmtid="{D5CDD505-2E9C-101B-9397-08002B2CF9AE}" pid="58" name="monofontoptions">
    <vt:lpwstr>Scale=MatchLowercase,Scale=0.94,FakeStretch=0.9</vt:lpwstr>
  </property>
  <property fmtid="{D5CDD505-2E9C-101B-9397-08002B2CF9AE}" pid="59" name="nameInLink">
    <vt:lpwstr>False</vt:lpwstr>
  </property>
  <property fmtid="{D5CDD505-2E9C-101B-9397-08002B2CF9AE}" pid="60" name="numberSections">
    <vt:lpwstr>False</vt:lpwstr>
  </property>
  <property fmtid="{D5CDD505-2E9C-101B-9397-08002B2CF9AE}" pid="61" name="pairDelim">
    <vt:lpwstr>, </vt:lpwstr>
  </property>
  <property fmtid="{D5CDD505-2E9C-101B-9397-08002B2CF9AE}" pid="62" name="papersize">
    <vt:lpwstr>a4</vt:lpwstr>
  </property>
  <property fmtid="{D5CDD505-2E9C-101B-9397-08002B2CF9AE}" pid="63" name="polyglossia-lang">
    <vt:lpwstr/>
  </property>
  <property fmtid="{D5CDD505-2E9C-101B-9397-08002B2CF9AE}" pid="64" name="polyglossia-otherlangs">
    <vt:lpwstr/>
  </property>
  <property fmtid="{D5CDD505-2E9C-101B-9397-08002B2CF9AE}" pid="65" name="rangeDelim">
    <vt:lpwstr>-</vt:lpwstr>
  </property>
  <property fmtid="{D5CDD505-2E9C-101B-9397-08002B2CF9AE}" pid="66" name="refDelim">
    <vt:lpwstr>, </vt:lpwstr>
  </property>
  <property fmtid="{D5CDD505-2E9C-101B-9397-08002B2CF9AE}" pid="67" name="refIndexTemplate">
    <vt:lpwstr>isuf</vt:lpwstr>
  </property>
  <property fmtid="{D5CDD505-2E9C-101B-9397-08002B2CF9AE}" pid="68" name="romanfont">
    <vt:lpwstr>Liberation Serif</vt:lpwstr>
  </property>
  <property fmtid="{D5CDD505-2E9C-101B-9397-08002B2CF9AE}" pid="69" name="romanfontoptions">
    <vt:lpwstr>Ligatures=Common,Ligatures=TeX,Scale=0.94</vt:lpwstr>
  </property>
  <property fmtid="{D5CDD505-2E9C-101B-9397-08002B2CF9AE}" pid="70" name="sansfont">
    <vt:lpwstr>Liberation Sans</vt:lpwstr>
  </property>
  <property fmtid="{D5CDD505-2E9C-101B-9397-08002B2CF9AE}" pid="71" name="sansfontoptions">
    <vt:lpwstr>Ligatures=Common,Ligatures=TeX,Scale=MatchLowercase,Scale=0.94</vt:lpwstr>
  </property>
  <property fmtid="{D5CDD505-2E9C-101B-9397-08002B2CF9AE}" pid="72" name="secHeaderDelim">
    <vt:lpwstr> </vt:lpwstr>
  </property>
  <property fmtid="{D5CDD505-2E9C-101B-9397-08002B2CF9AE}" pid="73" name="secHeaderTemplate">
    <vt:lpwstr>isecHeaderDelim[n]t</vt:lpwstr>
  </property>
  <property fmtid="{D5CDD505-2E9C-101B-9397-08002B2CF9AE}" pid="74" name="secLabels">
    <vt:lpwstr>arabic</vt:lpwstr>
  </property>
  <property fmtid="{D5CDD505-2E9C-101B-9397-08002B2CF9AE}" pid="75" name="secPrefix">
    <vt:lpwstr/>
  </property>
  <property fmtid="{D5CDD505-2E9C-101B-9397-08002B2CF9AE}" pid="76" name="secPrefixTemplate">
    <vt:lpwstr>p i</vt:lpwstr>
  </property>
  <property fmtid="{D5CDD505-2E9C-101B-9397-08002B2CF9AE}" pid="77" name="sectionsDepth">
    <vt:lpwstr>0</vt:lpwstr>
  </property>
  <property fmtid="{D5CDD505-2E9C-101B-9397-08002B2CF9AE}" pid="78" name="subfigGrid">
    <vt:lpwstr>False</vt:lpwstr>
  </property>
  <property fmtid="{D5CDD505-2E9C-101B-9397-08002B2CF9AE}" pid="79" name="subfigLabels">
    <vt:lpwstr>alpha a</vt:lpwstr>
  </property>
  <property fmtid="{D5CDD505-2E9C-101B-9397-08002B2CF9AE}" pid="80" name="subfigureChildTemplate">
    <vt:lpwstr>i</vt:lpwstr>
  </property>
  <property fmtid="{D5CDD505-2E9C-101B-9397-08002B2CF9AE}" pid="81" name="subfigureRefIndexTemplate">
    <vt:lpwstr>isuf (s)</vt:lpwstr>
  </property>
  <property fmtid="{D5CDD505-2E9C-101B-9397-08002B2CF9AE}" pid="82" name="subfigureTemplate">
    <vt:lpwstr>figureTitle ititleDelim t. ccs</vt:lpwstr>
  </property>
  <property fmtid="{D5CDD505-2E9C-101B-9397-08002B2CF9AE}" pid="83" name="subtitle">
    <vt:lpwstr>Номер 5</vt:lpwstr>
  </property>
  <property fmtid="{D5CDD505-2E9C-101B-9397-08002B2CF9AE}" pid="84" name="tableEqns">
    <vt:lpwstr>False</vt:lpwstr>
  </property>
  <property fmtid="{D5CDD505-2E9C-101B-9397-08002B2CF9AE}" pid="85" name="tableTemplate">
    <vt:lpwstr>tableTitle ititleDelim t</vt:lpwstr>
  </property>
  <property fmtid="{D5CDD505-2E9C-101B-9397-08002B2CF9AE}" pid="86" name="tableTitle">
    <vt:lpwstr>Таблица</vt:lpwstr>
  </property>
  <property fmtid="{D5CDD505-2E9C-101B-9397-08002B2CF9AE}" pid="87" name="tblLabels">
    <vt:lpwstr>arabic</vt:lpwstr>
  </property>
  <property fmtid="{D5CDD505-2E9C-101B-9397-08002B2CF9AE}" pid="88" name="tblPrefix">
    <vt:lpwstr/>
  </property>
  <property fmtid="{D5CDD505-2E9C-101B-9397-08002B2CF9AE}" pid="89" name="tblPrefixTemplate">
    <vt:lpwstr>p i</vt:lpwstr>
  </property>
  <property fmtid="{D5CDD505-2E9C-101B-9397-08002B2CF9AE}" pid="90" name="titleDelim">
    <vt:lpwstr>:</vt:lpwstr>
  </property>
  <property fmtid="{D5CDD505-2E9C-101B-9397-08002B2CF9AE}" pid="91" name="toc">
    <vt:lpwstr>True</vt:lpwstr>
  </property>
  <property fmtid="{D5CDD505-2E9C-101B-9397-08002B2CF9AE}" pid="92" name="toc-depth">
    <vt:lpwstr>2</vt:lpwstr>
  </property>
  <property fmtid="{D5CDD505-2E9C-101B-9397-08002B2CF9AE}" pid="93" name="toc-title">
    <vt:lpwstr>Содержание</vt:lpwstr>
  </property>
</Properties>
</file>