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</w:p>
    <w:p>
      <w:pPr>
        <w:pStyle w:val="Subtitle"/>
      </w:pPr>
      <w:r>
        <w:t xml:space="preserve">Номер</w:t>
      </w:r>
      <w:r>
        <w:t xml:space="preserve"> </w:t>
      </w:r>
      <w:r>
        <w:t xml:space="preserve">1</w:t>
      </w:r>
    </w:p>
    <w:p>
      <w:pPr>
        <w:pStyle w:val="Author"/>
      </w:pPr>
      <w:r>
        <w:t xml:space="preserve">Кобзев</w:t>
      </w:r>
      <w:r>
        <w:t xml:space="preserve"> </w:t>
      </w:r>
      <w:r>
        <w:t xml:space="preserve">Д.</w:t>
      </w:r>
      <w:r>
        <w:t xml:space="preserve"> </w:t>
      </w:r>
      <w:r>
        <w:t xml:space="preserve">К.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развёртывание в системе виртуализации mininet, знакомство с основными командами для работы с Mininet через командную строку и через графический интерфейс.</w:t>
      </w:r>
    </w:p>
    <w:bookmarkEnd w:id="20"/>
    <w:bookmarkStart w:id="72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Запускаем систему виртуализации и импортируем файл .ovf.</w:t>
      </w:r>
      <w:r>
        <w:t xml:space="preserve"> </w:t>
      </w:r>
      <w:r>
        <w:t xml:space="preserve">Переходим в настройки системы виртуализации и уточняем параметры настройки виртуальной машины.</w:t>
      </w:r>
      <w:r>
        <w:t xml:space="preserve"> </w:t>
      </w:r>
      <w:r>
        <w:t xml:space="preserve">Запускаем виртуальную машину с Mininet (Рис. 1.1).</w:t>
      </w:r>
    </w:p>
    <w:p>
      <w:pPr>
        <w:pStyle w:val="CaptionedFigure"/>
      </w:pPr>
      <w:r>
        <w:drawing>
          <wp:inline>
            <wp:extent cx="5334000" cy="3691651"/>
            <wp:effectExtent b="0" l="0" r="0" t="0"/>
            <wp:docPr descr="Настройка образа VirtualBox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1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образа VirtualBox</w:t>
      </w:r>
    </w:p>
    <w:p>
      <w:pPr>
        <w:pStyle w:val="BodyText"/>
      </w:pPr>
      <w:r>
        <w:t xml:space="preserve">Логинемся в виртуальной машине.</w:t>
      </w:r>
      <w:r>
        <w:t xml:space="preserve"> </w:t>
      </w:r>
      <w:r>
        <w:t xml:space="preserve">Смотрим адрес машины (Рис. 1.2).</w:t>
      </w:r>
    </w:p>
    <w:p>
      <w:pPr>
        <w:pStyle w:val="CaptionedFigure"/>
      </w:pPr>
      <w:r>
        <w:drawing>
          <wp:inline>
            <wp:extent cx="5334000" cy="2380044"/>
            <wp:effectExtent b="0" l="0" r="0" t="0"/>
            <wp:docPr descr="Адрес машины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0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Адрес машины</w:t>
      </w:r>
    </w:p>
    <w:p>
      <w:pPr>
        <w:pStyle w:val="BodyText"/>
      </w:pPr>
      <w:r>
        <w:t xml:space="preserve">Настраивем ssh-подсоединение по ключу к виртуальной машине.</w:t>
      </w:r>
      <w:r>
        <w:t xml:space="preserve"> </w:t>
      </w:r>
      <w:r>
        <w:t xml:space="preserve">Подключаемся к виртуальной машине (Рис. 1.3).</w:t>
      </w:r>
    </w:p>
    <w:p>
      <w:pPr>
        <w:pStyle w:val="CaptionedFigure"/>
      </w:pPr>
      <w:r>
        <w:drawing>
          <wp:inline>
            <wp:extent cx="5334000" cy="5270272"/>
            <wp:effectExtent b="0" l="0" r="0" t="0"/>
            <wp:docPr descr="Подключение к виртуальной машине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70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Подключение к виртуальной машине</w:t>
      </w:r>
    </w:p>
    <w:p>
      <w:pPr>
        <w:pStyle w:val="BodyText"/>
      </w:pPr>
      <w:r>
        <w:t xml:space="preserve">Добавляем для mininet указание на использование двух адаптеров при запуске (Рис. 1.4).</w:t>
      </w:r>
    </w:p>
    <w:p>
      <w:pPr>
        <w:pStyle w:val="CaptionedFigure"/>
      </w:pPr>
      <w:r>
        <w:drawing>
          <wp:inline>
            <wp:extent cx="5334000" cy="3449652"/>
            <wp:effectExtent b="0" l="0" r="0" t="0"/>
            <wp:docPr descr="Настройка доступа к Интернет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9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доступа к Интернет</w:t>
      </w:r>
    </w:p>
    <w:p>
      <w:pPr>
        <w:pStyle w:val="BodyText"/>
      </w:pPr>
      <w:r>
        <w:t xml:space="preserve">Обновляем версию Mininet (Рис. 1.5).</w:t>
      </w:r>
    </w:p>
    <w:p>
      <w:pPr>
        <w:pStyle w:val="CaptionedFigure"/>
      </w:pPr>
      <w:r>
        <w:drawing>
          <wp:inline>
            <wp:extent cx="5334000" cy="7120568"/>
            <wp:effectExtent b="0" l="0" r="0" t="0"/>
            <wp:docPr descr="Обновление версии Mininet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20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Обновление версии Mininet</w:t>
      </w:r>
    </w:p>
    <w:p>
      <w:pPr>
        <w:pStyle w:val="BodyText"/>
      </w:pPr>
      <w:r>
        <w:t xml:space="preserve">Увеличиваем размер шрифта и применяем векторные шрифты вместо растровых (Рис. 1.6).</w:t>
      </w:r>
    </w:p>
    <w:p>
      <w:pPr>
        <w:pStyle w:val="CaptionedFigure"/>
      </w:pPr>
      <w:r>
        <w:drawing>
          <wp:inline>
            <wp:extent cx="5334000" cy="7120568"/>
            <wp:effectExtent b="0" l="0" r="0" t="0"/>
            <wp:docPr descr="Настройка параметров XTerm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20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параметров XTerm</w:t>
      </w:r>
    </w:p>
    <w:p>
      <w:pPr>
        <w:pStyle w:val="BodyText"/>
      </w:pPr>
      <w:r>
        <w:t xml:space="preserve">Настраиваем соединения X11 для суперпользователя (Рис. 1.7).</w:t>
      </w:r>
    </w:p>
    <w:p>
      <w:pPr>
        <w:pStyle w:val="CaptionedFigure"/>
      </w:pPr>
      <w:r>
        <w:drawing>
          <wp:inline>
            <wp:extent cx="5334000" cy="2387783"/>
            <wp:effectExtent b="0" l="0" r="0" t="0"/>
            <wp:docPr descr="Настройка соединения X11 для суперпользователя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7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соединения X11 для суперпользователя</w:t>
      </w:r>
    </w:p>
    <w:p>
      <w:pPr>
        <w:pStyle w:val="BodyText"/>
      </w:pPr>
      <w:r>
        <w:t xml:space="preserve">Запускаем Mininet с минимальной топологией.</w:t>
      </w:r>
      <w:r>
        <w:t xml:space="preserve"> </w:t>
      </w:r>
      <w:r>
        <w:t xml:space="preserve">Отображаем доступные узлы.</w:t>
      </w:r>
      <w:r>
        <w:t xml:space="preserve"> </w:t>
      </w:r>
      <w:r>
        <w:t xml:space="preserve">Отображаем связи между устройствами в Mininet (Рис. 1.8).</w:t>
      </w:r>
    </w:p>
    <w:p>
      <w:pPr>
        <w:pStyle w:val="CaptionedFigure"/>
      </w:pPr>
      <w:r>
        <w:drawing>
          <wp:inline>
            <wp:extent cx="5334000" cy="2121590"/>
            <wp:effectExtent b="0" l="0" r="0" t="0"/>
            <wp:docPr descr="Обновление версии Mininet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1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Обновление версии Mininet</w:t>
      </w:r>
    </w:p>
    <w:p>
      <w:pPr>
        <w:pStyle w:val="BodyText"/>
      </w:pPr>
      <w:r>
        <w:t xml:space="preserve">Выполняем команду ifconfig на хосте h1 и h2 и смотрим интерфейсы хостов (Рис. 1.9).</w:t>
      </w:r>
    </w:p>
    <w:p>
      <w:pPr>
        <w:pStyle w:val="CaptionedFigure"/>
      </w:pPr>
      <w:r>
        <w:drawing>
          <wp:inline>
            <wp:extent cx="5334000" cy="7257317"/>
            <wp:effectExtent b="0" l="0" r="0" t="0"/>
            <wp:docPr descr="Интерфейсы хостов h1 и h2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57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Интерфейсы хостов h1 и h2</w:t>
      </w:r>
    </w:p>
    <w:p>
      <w:pPr>
        <w:pStyle w:val="BodyText"/>
      </w:pPr>
      <w:r>
        <w:t xml:space="preserve">Cмотрим интерфейсы коммутатора (Рис. 1.10).</w:t>
      </w:r>
    </w:p>
    <w:p>
      <w:pPr>
        <w:pStyle w:val="CaptionedFigure"/>
      </w:pPr>
      <w:r>
        <w:drawing>
          <wp:inline>
            <wp:extent cx="5334000" cy="7257317"/>
            <wp:effectExtent b="0" l="0" r="0" t="0"/>
            <wp:docPr descr="Интерфейсы коммутатора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57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Интерфейсы коммутатора</w:t>
      </w:r>
    </w:p>
    <w:p>
      <w:pPr>
        <w:pStyle w:val="BodyText"/>
      </w:pPr>
      <w:r>
        <w:t xml:space="preserve">Проверяем соединение между хостами h1 и h2 (Рис. 1.11).</w:t>
      </w:r>
    </w:p>
    <w:p>
      <w:pPr>
        <w:pStyle w:val="CaptionedFigure"/>
      </w:pPr>
      <w:r>
        <w:drawing>
          <wp:inline>
            <wp:extent cx="5334000" cy="1713345"/>
            <wp:effectExtent b="0" l="0" r="0" t="0"/>
            <wp:docPr descr="Проверка связности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3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связности</w:t>
      </w:r>
    </w:p>
    <w:p>
      <w:pPr>
        <w:pStyle w:val="BodyText"/>
      </w:pPr>
      <w:r>
        <w:t xml:space="preserve">В терминале виртуальной машины mininet запускаем MiniEdit.</w:t>
      </w:r>
      <w:r>
        <w:t xml:space="preserve"> </w:t>
      </w:r>
      <w:r>
        <w:t xml:space="preserve">Добавляем два хоста и один коммутатор, соединяем хосты с коммутатором.</w:t>
      </w:r>
      <w:r>
        <w:t xml:space="preserve"> </w:t>
      </w:r>
      <w:r>
        <w:t xml:space="preserve">Настраиваем IP-адреса на хостах h1 и h2 (Рис. 1.12).</w:t>
      </w:r>
    </w:p>
    <w:p>
      <w:pPr>
        <w:pStyle w:val="CaptionedFigure"/>
      </w:pPr>
      <w:r>
        <w:drawing>
          <wp:inline>
            <wp:extent cx="5334000" cy="3462771"/>
            <wp:effectExtent b="0" l="0" r="0" t="0"/>
            <wp:docPr descr="Построение топологии сети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2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Построение топологии сети</w:t>
      </w:r>
    </w:p>
    <w:p>
      <w:pPr>
        <w:pStyle w:val="BodyText"/>
      </w:pPr>
      <w:r>
        <w:t xml:space="preserve">Запускаем эмуляцию.</w:t>
      </w:r>
      <w:r>
        <w:t xml:space="preserve"> </w:t>
      </w:r>
      <w:r>
        <w:t xml:space="preserve">Смотрим назначенные хостам адреса (Рис. 1.13).</w:t>
      </w:r>
    </w:p>
    <w:p>
      <w:pPr>
        <w:pStyle w:val="CaptionedFigure"/>
      </w:pPr>
      <w:r>
        <w:drawing>
          <wp:inline>
            <wp:extent cx="5334000" cy="7559295"/>
            <wp:effectExtent b="0" l="0" r="0" t="0"/>
            <wp:docPr descr="Назначенные хостам адреса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59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Назначенные хостам адреса</w:t>
      </w:r>
    </w:p>
    <w:p>
      <w:pPr>
        <w:pStyle w:val="BodyText"/>
      </w:pPr>
      <w:r>
        <w:t xml:space="preserve">Cмотрим интерфейсы коммутатора (Рис. 1.14).</w:t>
      </w:r>
    </w:p>
    <w:p>
      <w:pPr>
        <w:pStyle w:val="CaptionedFigure"/>
      </w:pPr>
      <w:r>
        <w:drawing>
          <wp:inline>
            <wp:extent cx="5334000" cy="1764631"/>
            <wp:effectExtent b="0" l="0" r="0" t="0"/>
            <wp:docPr descr="Проверка связности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4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связности</w:t>
      </w:r>
    </w:p>
    <w:p>
      <w:pPr>
        <w:pStyle w:val="BodyText"/>
      </w:pPr>
      <w:r>
        <w:t xml:space="preserve">Настраиваем автоматическое назначение IP-адресов (Рис. 1.15).</w:t>
      </w:r>
    </w:p>
    <w:p>
      <w:pPr>
        <w:pStyle w:val="CaptionedFigure"/>
      </w:pPr>
      <w:r>
        <w:drawing>
          <wp:inline>
            <wp:extent cx="5334000" cy="2939626"/>
            <wp:effectExtent b="0" l="0" r="0" t="0"/>
            <wp:docPr descr="Автоматическое назначение IP-адресов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96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Автоматическое назначение IP-адресов</w:t>
      </w:r>
    </w:p>
    <w:p>
      <w:pPr>
        <w:pStyle w:val="BodyText"/>
      </w:pPr>
      <w:r>
        <w:t xml:space="preserve">Отображаем IP-адреса, назначенные хосту h1 (Рис. 1.16).</w:t>
      </w:r>
    </w:p>
    <w:p>
      <w:pPr>
        <w:pStyle w:val="CaptionedFigure"/>
      </w:pPr>
      <w:r>
        <w:drawing>
          <wp:inline>
            <wp:extent cx="5334000" cy="2953351"/>
            <wp:effectExtent b="0" l="0" r="0" t="0"/>
            <wp:docPr descr="IP-адреса, назначенные хосту h1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3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IP-адреса, назначенные хосту h1</w:t>
      </w:r>
    </w:p>
    <w:p>
      <w:pPr>
        <w:pStyle w:val="BodyText"/>
      </w:pPr>
      <w:r>
        <w:t xml:space="preserve">Сохраняем топологию Mininet (Рис. 1.17).</w:t>
      </w:r>
    </w:p>
    <w:p>
      <w:pPr>
        <w:pStyle w:val="CaptionedFigure"/>
      </w:pPr>
      <w:r>
        <w:drawing>
          <wp:inline>
            <wp:extent cx="5334000" cy="4567895"/>
            <wp:effectExtent b="0" l="0" r="0" t="0"/>
            <wp:docPr descr="Сохранение топологии Mininet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7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 топологии Mininet</w:t>
      </w:r>
    </w:p>
    <w:bookmarkEnd w:id="72"/>
    <w:bookmarkStart w:id="73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мною был развернут в системе виртуализации mininet, знакомлен с основными командами для работы с Mininet через командную строку и через графический интерфейс.</w:t>
      </w:r>
    </w:p>
    <w:bookmarkEnd w:id="73"/>
    <w:bookmarkStart w:id="74" w:name="список-литературы"/>
    <w:p>
      <w:pPr>
        <w:pStyle w:val="Heading1"/>
      </w:pPr>
      <w:r>
        <w:t xml:space="preserve">Список литературы</w:t>
      </w:r>
    </w:p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</dc:title>
  <dc:creator>Кобзев Д. К.</dc:creator>
  <dc:language>ru-RU</dc:language>
  <cp:keywords/>
  <dcterms:created xsi:type="dcterms:W3CDTF">2026-09-12T09:35:34Z</dcterms:created>
  <dcterms:modified xsi:type="dcterms:W3CDTF">2026-09-12T09:35:34Z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iography">
    <vt:lpwstr>bib/cite.bib</vt:lpwstr>
  </property>
  <property fmtid="{D5CDD505-2E9C-101B-9397-08002B2CF9AE}" pid="7" name="ccsDelim">
    <vt:lpwstr>, </vt:lpwstr>
  </property>
  <property fmtid="{D5CDD505-2E9C-101B-9397-08002B2CF9AE}" pid="8" name="ccsLabelSep">
    <vt:lpwstr> — </vt:lpwstr>
  </property>
  <property fmtid="{D5CDD505-2E9C-101B-9397-08002B2CF9AE}" pid="9" name="ccsTemplate">
    <vt:lpwstr>iccsLabelSept</vt:lpwstr>
  </property>
  <property fmtid="{D5CDD505-2E9C-101B-9397-08002B2CF9AE}" pid="10" name="chapDelim">
    <vt:lpwstr>.</vt:lpwstr>
  </property>
  <property fmtid="{D5CDD505-2E9C-101B-9397-08002B2CF9AE}" pid="11" name="chapters">
    <vt:lpwstr>False</vt:lpwstr>
  </property>
  <property fmtid="{D5CDD505-2E9C-101B-9397-08002B2CF9AE}" pid="12" name="chaptersDepth">
    <vt:lpwstr>1</vt:lpwstr>
  </property>
  <property fmtid="{D5CDD505-2E9C-101B-9397-08002B2CF9AE}" pid="13" name="codeBlockCaptions">
    <vt:lpwstr>False</vt:lpwstr>
  </property>
  <property fmtid="{D5CDD505-2E9C-101B-9397-08002B2CF9AE}" pid="14" name="cref">
    <vt:lpwstr>False</vt:lpwstr>
  </property>
  <property fmtid="{D5CDD505-2E9C-101B-9397-08002B2CF9AE}" pid="15" name="crossrefYaml">
    <vt:lpwstr>pandoc-crossref.yaml</vt:lpwstr>
  </property>
  <property fmtid="{D5CDD505-2E9C-101B-9397-08002B2CF9AE}" pid="16" name="csl">
    <vt:lpwstr>/home/dkkobzev/pandoc/csl/gost-r-7-0-5-2008-numeric.csl</vt:lpwstr>
  </property>
  <property fmtid="{D5CDD505-2E9C-101B-9397-08002B2CF9AE}" pid="17" name="documentclass">
    <vt:lpwstr>scrreprt</vt:lpwstr>
  </property>
  <property fmtid="{D5CDD505-2E9C-101B-9397-08002B2CF9AE}" pid="18" name="eqLabels">
    <vt:lpwstr>arabic</vt:lpwstr>
  </property>
  <property fmtid="{D5CDD505-2E9C-101B-9397-08002B2CF9AE}" pid="19" name="eqnBlockInlineMath">
    <vt:lpwstr>False</vt:lpwstr>
  </property>
  <property fmtid="{D5CDD505-2E9C-101B-9397-08002B2CF9AE}" pid="20" name="eqnBlockTemplate">
    <vt:lpwstr>ti</vt:lpwstr>
  </property>
  <property fmtid="{D5CDD505-2E9C-101B-9397-08002B2CF9AE}" pid="21" name="eqnIndexTemplate">
    <vt:lpwstr>(i)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/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/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Рис.</vt:lpwstr>
  </property>
  <property fmtid="{D5CDD505-2E9C-101B-9397-08002B2CF9AE}" pid="31" name="fontsize">
    <vt:lpwstr>12pt</vt:lpwstr>
  </property>
  <property fmtid="{D5CDD505-2E9C-101B-9397-08002B2CF9AE}" pid="32" name="header-includes">
    <vt:lpwstr/>
  </property>
  <property fmtid="{D5CDD505-2E9C-101B-9397-08002B2CF9AE}" pid="33" name="indent">
    <vt:lpwstr>True</vt:lpwstr>
  </property>
  <property fmtid="{D5CDD505-2E9C-101B-9397-08002B2CF9AE}" pid="34" name="lastDelim">
    <vt:lpwstr>, </vt:lpwstr>
  </property>
  <property fmtid="{D5CDD505-2E9C-101B-9397-08002B2CF9AE}" pid="35" name="linestretch">
    <vt:lpwstr>1.5</vt:lpwstr>
  </property>
  <property fmtid="{D5CDD505-2E9C-101B-9397-08002B2CF9AE}" pid="36" name="linkReferences">
    <vt:lpwstr>False</vt:lpwstr>
  </property>
  <property fmtid="{D5CDD505-2E9C-101B-9397-08002B2CF9AE}" pid="37" name="listItemTitleDelim">
    <vt:lpwstr>.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Листинг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ItemTemplate">
    <vt:lpwstr>lofItemTitleilistItemTitleDelimt </vt:lpwstr>
  </property>
  <property fmtid="{D5CDD505-2E9C-101B-9397-08002B2CF9AE}" pid="43" name="lofItemTitle">
    <vt:lpwstr/>
  </property>
  <property fmtid="{D5CDD505-2E9C-101B-9397-08002B2CF9AE}" pid="44" name="lofTitle">
    <vt:lpwstr>Список иллюстраций</vt:lpwstr>
  </property>
  <property fmtid="{D5CDD505-2E9C-101B-9397-08002B2CF9AE}" pid="45" name="lolItemTemplate">
    <vt:lpwstr>lolItemTitleilistItemTitleDelimt </vt:lpwstr>
  </property>
  <property fmtid="{D5CDD505-2E9C-101B-9397-08002B2CF9AE}" pid="46" name="lolItemTitle">
    <vt:lpwstr/>
  </property>
  <property fmtid="{D5CDD505-2E9C-101B-9397-08002B2CF9AE}" pid="47" name="lolTitle">
    <vt:lpwstr>Листинги</vt:lpwstr>
  </property>
  <property fmtid="{D5CDD505-2E9C-101B-9397-08002B2CF9AE}" pid="48" name="lot">
    <vt:lpwstr>True</vt:lpwstr>
  </property>
  <property fmtid="{D5CDD505-2E9C-101B-9397-08002B2CF9AE}" pid="49" name="lotItemTemplate">
    <vt:lpwstr>lotItemTitleilistItemTitleDelimt </vt:lpwstr>
  </property>
  <property fmtid="{D5CDD505-2E9C-101B-9397-08002B2CF9AE}" pid="50" name="lotItemTitle">
    <vt:lpwstr/>
  </property>
  <property fmtid="{D5CDD505-2E9C-101B-9397-08002B2CF9AE}" pid="51" name="lotTitle">
    <vt:lpwstr>Список таблиц</vt:lpwstr>
  </property>
  <property fmtid="{D5CDD505-2E9C-101B-9397-08002B2CF9AE}" pid="52" name="lstLabels">
    <vt:lpwstr>arabic</vt:lpwstr>
  </property>
  <property fmtid="{D5CDD505-2E9C-101B-9397-08002B2CF9AE}" pid="53" name="lstPrefix">
    <vt:lpwstr/>
  </property>
  <property fmtid="{D5CDD505-2E9C-101B-9397-08002B2CF9AE}" pid="54" name="lstPrefixTemplate">
    <vt:lpwstr>p i</vt:lpwstr>
  </property>
  <property fmtid="{D5CDD505-2E9C-101B-9397-08002B2CF9AE}" pid="55" name="mainfont">
    <vt:lpwstr>Liberation Serif</vt:lpwstr>
  </property>
  <property fmtid="{D5CDD505-2E9C-101B-9397-08002B2CF9AE}" pid="56" name="mainfontoptions">
    <vt:lpwstr>Ligatures=Common,Ligatures=TeX,Scale=0.94</vt:lpwstr>
  </property>
  <property fmtid="{D5CDD505-2E9C-101B-9397-08002B2CF9AE}" pid="57" name="monofont">
    <vt:lpwstr>Liberation Mono</vt:lpwstr>
  </property>
  <property fmtid="{D5CDD505-2E9C-101B-9397-08002B2CF9AE}" pid="58" name="monofontoptions">
    <vt:lpwstr>Scale=MatchLowercase,Scale=0.94,FakeStretch=0.9</vt:lpwstr>
  </property>
  <property fmtid="{D5CDD505-2E9C-101B-9397-08002B2CF9AE}" pid="59" name="nameInLink">
    <vt:lpwstr>False</vt:lpwstr>
  </property>
  <property fmtid="{D5CDD505-2E9C-101B-9397-08002B2CF9AE}" pid="60" name="numberSections">
    <vt:lpwstr>False</vt:lpwstr>
  </property>
  <property fmtid="{D5CDD505-2E9C-101B-9397-08002B2CF9AE}" pid="61" name="pairDelim">
    <vt:lpwstr>, </vt:lpwstr>
  </property>
  <property fmtid="{D5CDD505-2E9C-101B-9397-08002B2CF9AE}" pid="62" name="papersize">
    <vt:lpwstr>a4</vt:lpwstr>
  </property>
  <property fmtid="{D5CDD505-2E9C-101B-9397-08002B2CF9AE}" pid="63" name="polyglossia-lang">
    <vt:lpwstr/>
  </property>
  <property fmtid="{D5CDD505-2E9C-101B-9397-08002B2CF9AE}" pid="64" name="polyglossia-otherlangs">
    <vt:lpwstr/>
  </property>
  <property fmtid="{D5CDD505-2E9C-101B-9397-08002B2CF9AE}" pid="65" name="rangeDelim">
    <vt:lpwstr>-</vt:lpwstr>
  </property>
  <property fmtid="{D5CDD505-2E9C-101B-9397-08002B2CF9AE}" pid="66" name="refDelim">
    <vt:lpwstr>, </vt:lpwstr>
  </property>
  <property fmtid="{D5CDD505-2E9C-101B-9397-08002B2CF9AE}" pid="67" name="refIndexTemplate">
    <vt:lpwstr>isuf</vt:lpwstr>
  </property>
  <property fmtid="{D5CDD505-2E9C-101B-9397-08002B2CF9AE}" pid="68" name="romanfont">
    <vt:lpwstr>Liberation Serif</vt:lpwstr>
  </property>
  <property fmtid="{D5CDD505-2E9C-101B-9397-08002B2CF9AE}" pid="69" name="romanfontoptions">
    <vt:lpwstr>Ligatures=Common,Ligatures=TeX,Scale=0.94</vt:lpwstr>
  </property>
  <property fmtid="{D5CDD505-2E9C-101B-9397-08002B2CF9AE}" pid="70" name="sansfont">
    <vt:lpwstr>Liberation Sans</vt:lpwstr>
  </property>
  <property fmtid="{D5CDD505-2E9C-101B-9397-08002B2CF9AE}" pid="71" name="sansfontoptions">
    <vt:lpwstr>Ligatures=Common,Ligatures=TeX,Scale=MatchLowercase,Scale=0.94</vt:lpwstr>
  </property>
  <property fmtid="{D5CDD505-2E9C-101B-9397-08002B2CF9AE}" pid="72" name="secHeaderDelim">
    <vt:lpwstr> </vt:lpwstr>
  </property>
  <property fmtid="{D5CDD505-2E9C-101B-9397-08002B2CF9AE}" pid="73" name="secHeaderTemplate">
    <vt:lpwstr>isecHeaderDelim[n]t</vt:lpwstr>
  </property>
  <property fmtid="{D5CDD505-2E9C-101B-9397-08002B2CF9AE}" pid="74" name="secLabels">
    <vt:lpwstr>arabic</vt:lpwstr>
  </property>
  <property fmtid="{D5CDD505-2E9C-101B-9397-08002B2CF9AE}" pid="75" name="secPrefix">
    <vt:lpwstr/>
  </property>
  <property fmtid="{D5CDD505-2E9C-101B-9397-08002B2CF9AE}" pid="76" name="secPrefixTemplate">
    <vt:lpwstr>p i</vt:lpwstr>
  </property>
  <property fmtid="{D5CDD505-2E9C-101B-9397-08002B2CF9AE}" pid="77" name="sectionsDepth">
    <vt:lpwstr>0</vt:lpwstr>
  </property>
  <property fmtid="{D5CDD505-2E9C-101B-9397-08002B2CF9AE}" pid="78" name="subfigGrid">
    <vt:lpwstr>False</vt:lpwstr>
  </property>
  <property fmtid="{D5CDD505-2E9C-101B-9397-08002B2CF9AE}" pid="79" name="subfigLabels">
    <vt:lpwstr>alpha a</vt:lpwstr>
  </property>
  <property fmtid="{D5CDD505-2E9C-101B-9397-08002B2CF9AE}" pid="80" name="subfigureChildTemplate">
    <vt:lpwstr>i</vt:lpwstr>
  </property>
  <property fmtid="{D5CDD505-2E9C-101B-9397-08002B2CF9AE}" pid="81" name="subfigureRefIndexTemplate">
    <vt:lpwstr>isuf (s)</vt:lpwstr>
  </property>
  <property fmtid="{D5CDD505-2E9C-101B-9397-08002B2CF9AE}" pid="82" name="subfigureTemplate">
    <vt:lpwstr>figureTitle ititleDelim t. ccs</vt:lpwstr>
  </property>
  <property fmtid="{D5CDD505-2E9C-101B-9397-08002B2CF9AE}" pid="83" name="subtitle">
    <vt:lpwstr>Номер 1</vt:lpwstr>
  </property>
  <property fmtid="{D5CDD505-2E9C-101B-9397-08002B2CF9AE}" pid="84" name="tableEqns">
    <vt:lpwstr>False</vt:lpwstr>
  </property>
  <property fmtid="{D5CDD505-2E9C-101B-9397-08002B2CF9AE}" pid="85" name="tableTemplate">
    <vt:lpwstr>tableTitle ititleDelim t</vt:lpwstr>
  </property>
  <property fmtid="{D5CDD505-2E9C-101B-9397-08002B2CF9AE}" pid="86" name="tableTitle">
    <vt:lpwstr>Таблица</vt:lpwstr>
  </property>
  <property fmtid="{D5CDD505-2E9C-101B-9397-08002B2CF9AE}" pid="87" name="tblLabels">
    <vt:lpwstr>arabic</vt:lpwstr>
  </property>
  <property fmtid="{D5CDD505-2E9C-101B-9397-08002B2CF9AE}" pid="88" name="tblPrefix">
    <vt:lpwstr/>
  </property>
  <property fmtid="{D5CDD505-2E9C-101B-9397-08002B2CF9AE}" pid="89" name="tblPrefixTemplate">
    <vt:lpwstr>p i</vt:lpwstr>
  </property>
  <property fmtid="{D5CDD505-2E9C-101B-9397-08002B2CF9AE}" pid="90" name="titleDelim">
    <vt:lpwstr>:</vt:lpwstr>
  </property>
  <property fmtid="{D5CDD505-2E9C-101B-9397-08002B2CF9AE}" pid="91" name="toc">
    <vt:lpwstr>True</vt:lpwstr>
  </property>
  <property fmtid="{D5CDD505-2E9C-101B-9397-08002B2CF9AE}" pid="92" name="toc-depth">
    <vt:lpwstr>2</vt:lpwstr>
  </property>
  <property fmtid="{D5CDD505-2E9C-101B-9397-08002B2CF9AE}" pid="93" name="toc-title">
    <vt:lpwstr>Содержание</vt:lpwstr>
  </property>
</Properties>
</file>