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Quarterly Product Roadmap</w:t>
      </w:r>
    </w:p>
    <w:p>
      <w:r>
        <w:rPr>
          <w:i/>
        </w:rPr>
        <w:t xml:space="preserve">Sample document for testing </w:t>
      </w:r>
      <w:r>
        <w:rPr>
          <w:b/>
          <w:color w:val="216EF3"/>
        </w:rPr>
        <w:t>Calque</w:t>
      </w:r>
      <w:r>
        <w:rPr>
          <w:i/>
        </w:rPr>
        <w:t xml:space="preserve">, an offline Microsoft Office translator for macOS. </w:t>
      </w:r>
      <w:r>
        <w:rPr>
          <w:i/>
        </w:rPr>
        <w:t>This file exercises bold, italic, coloured text, hyperlinks, lists and tables.</w:t>
      </w:r>
    </w:p>
    <w:p>
      <w:pPr>
        <w:pStyle w:val="Heading1"/>
      </w:pPr>
      <w:r>
        <w:t>Executive Summary</w:t>
      </w:r>
    </w:p>
    <w:p>
      <w:r>
        <w:t>Our team will ship three major product improvements during the next quarter. Each initiative aims to reduce friction for end users while improving the reliability of the underlying platform. The work is divided across the frontend, backend and infrastructure tracks.</w:t>
      </w:r>
    </w:p>
    <w:p>
      <w:r>
        <w:rPr>
          <w:b/>
          <w:color w:val="C0392B"/>
        </w:rPr>
        <w:t xml:space="preserve">Important: </w:t>
      </w:r>
      <w:r>
        <w:t xml:space="preserve">All changes must remain backward-compatible with existing customer integrations. </w:t>
      </w:r>
      <w:r>
        <w:rPr>
          <w:i/>
        </w:rPr>
        <w:t>No breaking API changes are allowed without a six-month deprecation window.</w:t>
      </w:r>
    </w:p>
    <w:p>
      <w:pPr>
        <w:pStyle w:val="Heading1"/>
      </w:pPr>
      <w:r>
        <w:t>Priorities</w:t>
      </w:r>
    </w:p>
    <w:p>
      <w:pPr>
        <w:pStyle w:val="ListBullet"/>
      </w:pPr>
      <w:r>
        <w:rPr>
          <w:b/>
        </w:rPr>
        <w:t xml:space="preserve">Authentication refresh: </w:t>
      </w:r>
      <w:r>
        <w:t>Migrate from legacy session cookies to short-lived JWT tokens.</w:t>
      </w:r>
    </w:p>
    <w:p>
      <w:pPr>
        <w:pStyle w:val="ListBullet"/>
      </w:pPr>
      <w:r>
        <w:rPr>
          <w:b/>
        </w:rPr>
        <w:t xml:space="preserve">Search relevance: </w:t>
      </w:r>
      <w:r>
        <w:t>Replace the BM25 ranker with a learned-to-rank model trained on click logs.</w:t>
      </w:r>
    </w:p>
    <w:p>
      <w:pPr>
        <w:pStyle w:val="ListBullet"/>
      </w:pPr>
      <w:r>
        <w:rPr>
          <w:b/>
        </w:rPr>
        <w:t xml:space="preserve">Document import pipeline: </w:t>
      </w:r>
      <w:r>
        <w:t>Add native support for .docx, .xlsx and .pptx with formatting preserved.</w:t>
      </w:r>
    </w:p>
    <w:p>
      <w:pPr>
        <w:pStyle w:val="Heading1"/>
      </w:pPr>
      <w:r>
        <w:t>Estimated Effort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Initiative</w:t>
            </w:r>
          </w:p>
        </w:tc>
        <w:tc>
          <w:tcPr>
            <w:tcW w:type="dxa" w:w="2880"/>
          </w:tcPr>
          <w:p>
            <w:r>
              <w:t>Owner</w:t>
            </w:r>
          </w:p>
        </w:tc>
        <w:tc>
          <w:tcPr>
            <w:tcW w:type="dxa" w:w="2880"/>
          </w:tcPr>
          <w:p>
            <w:r>
              <w:t>Weeks</w:t>
            </w:r>
          </w:p>
        </w:tc>
      </w:tr>
      <w:tr>
        <w:tc>
          <w:tcPr>
            <w:tcW w:type="dxa" w:w="2880"/>
          </w:tcPr>
          <w:p>
            <w:r>
              <w:t>Authentication refresh</w:t>
            </w:r>
          </w:p>
        </w:tc>
        <w:tc>
          <w:tcPr>
            <w:tcW w:type="dxa" w:w="2880"/>
          </w:tcPr>
          <w:p>
            <w:r>
              <w:t>Backend team</w:t>
            </w:r>
          </w:p>
        </w:tc>
        <w:tc>
          <w:tcPr>
            <w:tcW w:type="dxa" w:w="2880"/>
          </w:tcPr>
          <w:p>
            <w:r>
              <w:t>4</w:t>
            </w:r>
          </w:p>
        </w:tc>
      </w:tr>
      <w:tr>
        <w:tc>
          <w:tcPr>
            <w:tcW w:type="dxa" w:w="2880"/>
          </w:tcPr>
          <w:p>
            <w:r>
              <w:t>Search relevance</w:t>
            </w:r>
          </w:p>
        </w:tc>
        <w:tc>
          <w:tcPr>
            <w:tcW w:type="dxa" w:w="2880"/>
          </w:tcPr>
          <w:p>
            <w:r>
              <w:t>ML team</w:t>
            </w:r>
          </w:p>
        </w:tc>
        <w:tc>
          <w:tcPr>
            <w:tcW w:type="dxa" w:w="2880"/>
          </w:tcPr>
          <w:p>
            <w:r>
              <w:t>8</w:t>
            </w:r>
          </w:p>
        </w:tc>
      </w:tr>
      <w:tr>
        <w:tc>
          <w:tcPr>
            <w:tcW w:type="dxa" w:w="2880"/>
          </w:tcPr>
          <w:p>
            <w:r>
              <w:t>Document import pipeline</w:t>
            </w:r>
          </w:p>
        </w:tc>
        <w:tc>
          <w:tcPr>
            <w:tcW w:type="dxa" w:w="2880"/>
          </w:tcPr>
          <w:p>
            <w:r>
              <w:t>Frontend team</w:t>
            </w:r>
          </w:p>
        </w:tc>
        <w:tc>
          <w:tcPr>
            <w:tcW w:type="dxa" w:w="2880"/>
          </w:tcPr>
          <w:p>
            <w:r>
              <w:t>6</w:t>
            </w:r>
          </w:p>
        </w:tc>
      </w:tr>
    </w:tbl>
    <w:p>
      <w:pPr>
        <w:pStyle w:val="Heading1"/>
      </w:pPr>
      <w:r>
        <w:t>Resources</w:t>
      </w:r>
    </w:p>
    <w:p>
      <w:r>
        <w:t xml:space="preserve">Project tracker: </w:t>
      </w:r>
      <w:r>
        <w:rPr>
          <w:color w:val="216EF3"/>
          <w:u w:val="single"/>
        </w:rPr>
        <w:t>https://example.com/tracker</w:t>
      </w:r>
    </w:p>
    <w:p>
      <w:r>
        <w:rPr>
          <w:b/>
        </w:rPr>
        <w:t xml:space="preserve">Status meeting: </w:t>
      </w:r>
      <w:r>
        <w:t>every Monday at 10:00 — see the calendar invite.</w:t>
      </w:r>
    </w:p>
    <w:p>
      <w:pPr>
        <w:jc w:val="center"/>
      </w:pPr>
      <w:r>
        <w:rPr>
          <w:i/>
          <w:color w:val="808080"/>
          <w:sz w:val="20"/>
        </w:rPr>
        <w:t>End of document — feel free to translate this file with Calque.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