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ABDC"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Varijable:</w:t>
      </w:r>
    </w:p>
    <w:p w14:paraId="11CDBABE" w14:textId="77777777" w:rsidR="00675888" w:rsidRPr="00A32AE5" w:rsidRDefault="00675888" w:rsidP="005851AF">
      <w:pPr>
        <w:numPr>
          <w:ilvl w:val="0"/>
          <w:numId w:val="1"/>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time:</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Vrijeme do neuspjeha ili cenzuriranja izraženo u danima, </w:t>
      </w:r>
      <w:r w:rsidRPr="00675888">
        <w:rPr>
          <w:rFonts w:ascii="Calibri" w:eastAsia="Times New Roman" w:hAnsi="Calibri" w:cs="Calibri"/>
          <w:noProof w:val="0"/>
          <w:color w:val="000000"/>
          <w:kern w:val="0"/>
          <w:sz w:val="24"/>
          <w:szCs w:val="24"/>
          <w:lang w:val="hr-HR" w:eastAsia="hr-HR"/>
          <w14:ligatures w14:val="none"/>
        </w:rPr>
        <w:t xml:space="preserve"> omogućuje analizu učinkovitosti tretmana </w:t>
      </w:r>
    </w:p>
    <w:p w14:paraId="5C5E1434" w14:textId="77777777" w:rsidR="00A32AE5" w:rsidRPr="00675888" w:rsidRDefault="00A32AE5" w:rsidP="00A32AE5">
      <w:pPr>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
    <w:p w14:paraId="1C81B7C2"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Failure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može označavati smrt ili znatan napredak bolesti, dok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censoring</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znači da je pacijent prestao sudjelovati u studiji prije nego što je došlo do "neuspjeha", bilo zbog prestanka praćenja, izgubljenih podataka, ili završetka studije prije događaja.</w:t>
      </w:r>
    </w:p>
    <w:p w14:paraId="37735D50"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5FCFA15C" w14:textId="77777777" w:rsidR="00675888" w:rsidRPr="00675888" w:rsidRDefault="00675888" w:rsidP="005851AF">
      <w:pPr>
        <w:spacing w:after="0" w:line="240" w:lineRule="auto"/>
        <w:jc w:val="both"/>
        <w:rPr>
          <w:rFonts w:ascii="Calibri" w:eastAsia="Times New Roman" w:hAnsi="Calibri" w:cs="Calibri"/>
          <w:noProof w:val="0"/>
          <w:kern w:val="0"/>
          <w:sz w:val="24"/>
          <w:szCs w:val="24"/>
          <w:lang w:val="hr-HR" w:eastAsia="hr-HR"/>
          <w14:ligatures w14:val="none"/>
        </w:rPr>
      </w:pPr>
      <w:proofErr w:type="spellStart"/>
      <w:r w:rsidRPr="00675888">
        <w:rPr>
          <w:rFonts w:ascii="Calibri" w:eastAsia="Times New Roman" w:hAnsi="Calibri" w:cs="Calibri"/>
          <w:b/>
          <w:bCs/>
          <w:noProof w:val="0"/>
          <w:kern w:val="0"/>
          <w:sz w:val="24"/>
          <w:szCs w:val="24"/>
          <w:lang w:val="hr-HR" w:eastAsia="hr-HR"/>
          <w14:ligatures w14:val="none"/>
        </w:rPr>
        <w:t>Failure</w:t>
      </w:r>
      <w:proofErr w:type="spellEnd"/>
      <w:r w:rsidRPr="00675888">
        <w:rPr>
          <w:rFonts w:ascii="Calibri" w:eastAsia="Times New Roman" w:hAnsi="Calibri" w:cs="Calibri"/>
          <w:noProof w:val="0"/>
          <w:kern w:val="0"/>
          <w:sz w:val="24"/>
          <w:szCs w:val="24"/>
          <w:lang w:val="hr-HR" w:eastAsia="hr-HR"/>
          <w14:ligatures w14:val="none"/>
        </w:rPr>
        <w:t>: U kontekstu ove studije, neuspjeh bi mogao značiti smrt pacijenta ili znatan napredak bolesti koji zahtijeva promjenu liječenja. Ova informacija je ključna za ocjenu koliko je neki tretman učinkovit u produljenju života pacijenata ili odgodi pogoršanja njihovog zdravstvenog stanja.</w:t>
      </w:r>
    </w:p>
    <w:p w14:paraId="3B6E401B" w14:textId="77777777" w:rsidR="00675888" w:rsidRPr="00675888" w:rsidRDefault="00675888" w:rsidP="005851AF">
      <w:pPr>
        <w:spacing w:after="0" w:line="240" w:lineRule="auto"/>
        <w:jc w:val="both"/>
        <w:rPr>
          <w:rFonts w:ascii="Calibri" w:eastAsia="Times New Roman" w:hAnsi="Calibri" w:cs="Calibri"/>
          <w:noProof w:val="0"/>
          <w:kern w:val="0"/>
          <w:sz w:val="24"/>
          <w:szCs w:val="24"/>
          <w:lang w:val="hr-HR" w:eastAsia="hr-HR"/>
          <w14:ligatures w14:val="none"/>
        </w:rPr>
      </w:pPr>
      <w:r w:rsidRPr="00675888">
        <w:rPr>
          <w:rFonts w:ascii="Calibri" w:eastAsia="Times New Roman" w:hAnsi="Calibri" w:cs="Calibri"/>
          <w:noProof w:val="0"/>
          <w:kern w:val="0"/>
          <w:sz w:val="24"/>
          <w:szCs w:val="24"/>
          <w:lang w:val="hr-HR" w:eastAsia="hr-HR"/>
          <w14:ligatures w14:val="none"/>
        </w:rPr>
        <w:t> </w:t>
      </w:r>
    </w:p>
    <w:p w14:paraId="0F9E250D" w14:textId="77777777" w:rsidR="00675888" w:rsidRDefault="00675888" w:rsidP="005851AF">
      <w:pPr>
        <w:spacing w:after="0" w:line="240" w:lineRule="auto"/>
        <w:jc w:val="both"/>
        <w:rPr>
          <w:rFonts w:ascii="Calibri" w:eastAsia="Times New Roman" w:hAnsi="Calibri" w:cs="Calibri"/>
          <w:noProof w:val="0"/>
          <w:kern w:val="0"/>
          <w:sz w:val="24"/>
          <w:szCs w:val="24"/>
          <w:lang w:val="hr-HR" w:eastAsia="hr-HR"/>
          <w14:ligatures w14:val="none"/>
        </w:rPr>
      </w:pPr>
      <w:proofErr w:type="spellStart"/>
      <w:r w:rsidRPr="00675888">
        <w:rPr>
          <w:rFonts w:ascii="Calibri" w:eastAsia="Times New Roman" w:hAnsi="Calibri" w:cs="Calibri"/>
          <w:b/>
          <w:bCs/>
          <w:noProof w:val="0"/>
          <w:kern w:val="0"/>
          <w:sz w:val="24"/>
          <w:szCs w:val="24"/>
          <w:lang w:val="hr-HR" w:eastAsia="hr-HR"/>
          <w14:ligatures w14:val="none"/>
        </w:rPr>
        <w:t>Censoring</w:t>
      </w:r>
      <w:proofErr w:type="spellEnd"/>
      <w:r w:rsidRPr="00675888">
        <w:rPr>
          <w:rFonts w:ascii="Calibri" w:eastAsia="Times New Roman" w:hAnsi="Calibri" w:cs="Calibri"/>
          <w:noProof w:val="0"/>
          <w:kern w:val="0"/>
          <w:sz w:val="24"/>
          <w:szCs w:val="24"/>
          <w:lang w:val="hr-HR" w:eastAsia="hr-HR"/>
          <w14:ligatures w14:val="none"/>
        </w:rPr>
        <w:t>: Ako pacijent iz bilo kojeg razloga prestane sudjelovati u studiji prije nego što dođe do "neuspjeha" (npr., zbog preseljenja, odustajanja od daljnjeg sudjelovanja, ili završetka studije prije nego što se dogodi neki od definiranih ishoda), njegovi se podaci smatraju cenzuriranim. Cenzuriranje je važno za statističku analizu jer pruža informacije o trajanju sudjelovanja pacijenata u studiji, ali bez konkretnog ishoda poput smrti ili napredovanja bolesti.</w:t>
      </w:r>
    </w:p>
    <w:p w14:paraId="681545F1" w14:textId="77777777" w:rsidR="00A32AE5" w:rsidRDefault="00A32AE5" w:rsidP="005851AF">
      <w:pPr>
        <w:spacing w:after="0" w:line="240" w:lineRule="auto"/>
        <w:jc w:val="both"/>
        <w:rPr>
          <w:rFonts w:ascii="Calibri" w:eastAsia="Times New Roman" w:hAnsi="Calibri" w:cs="Calibri"/>
          <w:noProof w:val="0"/>
          <w:kern w:val="0"/>
          <w:sz w:val="24"/>
          <w:szCs w:val="24"/>
          <w:lang w:val="hr-HR" w:eastAsia="hr-HR"/>
          <w14:ligatures w14:val="none"/>
        </w:rPr>
      </w:pPr>
    </w:p>
    <w:p w14:paraId="29A68552" w14:textId="717F9B41" w:rsidR="00A32AE5" w:rsidRPr="00675888" w:rsidRDefault="00A32AE5" w:rsidP="005851AF">
      <w:pPr>
        <w:spacing w:after="0" w:line="240" w:lineRule="auto"/>
        <w:jc w:val="both"/>
        <w:rPr>
          <w:rFonts w:ascii="Calibri" w:eastAsia="Times New Roman" w:hAnsi="Calibri" w:cs="Calibri"/>
          <w:noProof w:val="0"/>
          <w:kern w:val="0"/>
          <w:sz w:val="24"/>
          <w:szCs w:val="24"/>
          <w:lang w:val="hr-HR" w:eastAsia="hr-HR"/>
          <w14:ligatures w14:val="none"/>
        </w:rPr>
      </w:pPr>
      <w:r>
        <w:rPr>
          <w:rFonts w:ascii="Calibri" w:eastAsia="Times New Roman" w:hAnsi="Calibri" w:cs="Calibri"/>
          <w:noProof w:val="0"/>
          <w:kern w:val="0"/>
          <w:sz w:val="24"/>
          <w:szCs w:val="24"/>
          <w:lang w:val="hr-HR" w:eastAsia="hr-HR"/>
          <w14:ligatures w14:val="none"/>
        </w:rPr>
        <w:t xml:space="preserve">Varijabla </w:t>
      </w:r>
      <w:proofErr w:type="spellStart"/>
      <w:r>
        <w:rPr>
          <w:rFonts w:ascii="Calibri" w:eastAsia="Times New Roman" w:hAnsi="Calibri" w:cs="Calibri"/>
          <w:noProof w:val="0"/>
          <w:kern w:val="0"/>
          <w:sz w:val="24"/>
          <w:szCs w:val="24"/>
          <w:lang w:val="hr-HR" w:eastAsia="hr-HR"/>
          <w14:ligatures w14:val="none"/>
        </w:rPr>
        <w:t>cid</w:t>
      </w:r>
      <w:proofErr w:type="spellEnd"/>
      <w:r>
        <w:rPr>
          <w:rFonts w:ascii="Calibri" w:eastAsia="Times New Roman" w:hAnsi="Calibri" w:cs="Calibri"/>
          <w:noProof w:val="0"/>
          <w:kern w:val="0"/>
          <w:sz w:val="24"/>
          <w:szCs w:val="24"/>
          <w:lang w:val="hr-HR" w:eastAsia="hr-HR"/>
          <w14:ligatures w14:val="none"/>
        </w:rPr>
        <w:t xml:space="preserve"> koje će kasnije biti opisana će pokazati da li je bio 0 ili 1, odnosno </w:t>
      </w:r>
      <w:proofErr w:type="spellStart"/>
      <w:r w:rsidRPr="00A32AE5">
        <w:rPr>
          <w:rFonts w:ascii="Calibri" w:eastAsia="Times New Roman" w:hAnsi="Calibri" w:cs="Calibri"/>
          <w:b/>
          <w:bCs/>
          <w:noProof w:val="0"/>
          <w:kern w:val="0"/>
          <w:sz w:val="24"/>
          <w:szCs w:val="24"/>
          <w:lang w:val="hr-HR" w:eastAsia="hr-HR"/>
          <w14:ligatures w14:val="none"/>
        </w:rPr>
        <w:t>Failure</w:t>
      </w:r>
      <w:proofErr w:type="spellEnd"/>
      <w:r>
        <w:rPr>
          <w:rFonts w:ascii="Calibri" w:eastAsia="Times New Roman" w:hAnsi="Calibri" w:cs="Calibri"/>
          <w:noProof w:val="0"/>
          <w:kern w:val="0"/>
          <w:sz w:val="24"/>
          <w:szCs w:val="24"/>
          <w:lang w:val="hr-HR" w:eastAsia="hr-HR"/>
          <w14:ligatures w14:val="none"/>
        </w:rPr>
        <w:t xml:space="preserve"> ili </w:t>
      </w:r>
      <w:proofErr w:type="spellStart"/>
      <w:r w:rsidRPr="00A32AE5">
        <w:rPr>
          <w:rFonts w:ascii="Calibri" w:eastAsia="Times New Roman" w:hAnsi="Calibri" w:cs="Calibri"/>
          <w:b/>
          <w:bCs/>
          <w:noProof w:val="0"/>
          <w:kern w:val="0"/>
          <w:sz w:val="24"/>
          <w:szCs w:val="24"/>
          <w:lang w:val="hr-HR" w:eastAsia="hr-HR"/>
          <w14:ligatures w14:val="none"/>
        </w:rPr>
        <w:t>Cenosring</w:t>
      </w:r>
      <w:proofErr w:type="spellEnd"/>
      <w:r>
        <w:rPr>
          <w:rFonts w:ascii="Calibri" w:eastAsia="Times New Roman" w:hAnsi="Calibri" w:cs="Calibri"/>
          <w:noProof w:val="0"/>
          <w:kern w:val="0"/>
          <w:sz w:val="24"/>
          <w:szCs w:val="24"/>
          <w:lang w:val="hr-HR" w:eastAsia="hr-HR"/>
          <w14:ligatures w14:val="none"/>
        </w:rPr>
        <w:t>.</w:t>
      </w:r>
    </w:p>
    <w:p w14:paraId="671D2638" w14:textId="0BF2DFED"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p>
    <w:p w14:paraId="64501A44" w14:textId="77777777" w:rsidR="00675888" w:rsidRPr="00675888" w:rsidRDefault="00675888" w:rsidP="005851AF">
      <w:pPr>
        <w:numPr>
          <w:ilvl w:val="0"/>
          <w:numId w:val="2"/>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trt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Indikator tretmana koji pacijent prima. Vrijednosti su numeričke i predstavljaju različite terapije (npr., 0 = samo ZDV; 1 = ZDV +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ddI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2 = ZDV +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Zal</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3 = samo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ddI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gdje ZDV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ddI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Didanosine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i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Zal</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predstavljaju različite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lijekove.</w:t>
      </w:r>
    </w:p>
    <w:p w14:paraId="700CA06E"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2F739439" w14:textId="77777777" w:rsidR="00675888" w:rsidRPr="00675888" w:rsidRDefault="00675888" w:rsidP="00D40162">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Varijabla </w:t>
      </w:r>
      <w:r w:rsidRPr="00675888">
        <w:rPr>
          <w:rFonts w:ascii="Calibri" w:eastAsia="Times New Roman" w:hAnsi="Calibri" w:cs="Calibri"/>
          <w:b/>
          <w:bCs/>
          <w:noProof w:val="0"/>
          <w:color w:val="0D0D0D"/>
          <w:kern w:val="0"/>
          <w:sz w:val="24"/>
          <w:szCs w:val="24"/>
          <w:shd w:val="clear" w:color="auto" w:fill="FFFFFF"/>
          <w:lang w:val="hr-HR" w:eastAsia="hr-HR"/>
          <w14:ligatures w14:val="none"/>
        </w:rPr>
        <w:t>trt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ili indikator tretmana, koristi se za kategorizaciju vrste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antiretrovirusnog</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tretmana koji je pacijent primio tijekom kliničke studije. Svaka numerička vrijednost povezana je s određenom kombinacijom lijekova, a svaki lijek ima svoj mehanizam djelovanja u borbi protiv HIV-a. Evo detaljnog objašnjenja:</w:t>
      </w:r>
    </w:p>
    <w:p w14:paraId="000A16B8"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1E163350" w14:textId="77777777" w:rsidR="00675888" w:rsidRPr="00675888" w:rsidRDefault="00675888" w:rsidP="005851AF">
      <w:pPr>
        <w:numPr>
          <w:ilvl w:val="0"/>
          <w:numId w:val="3"/>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0 = samo ZDV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Zidovudine</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Ovaj tretman uključuje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monoterapiju</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poznatim i kao AZT. ZDV je jedan od prvih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antiretrovirusnih</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lijekova i pripada klasi lijekova poznatoj kao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reverzne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transkriptaze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Djeluje tako što ometa sposobnost HIV-a da se umnožava unutar tijela.</w:t>
      </w:r>
    </w:p>
    <w:p w14:paraId="54BB4CD1" w14:textId="77777777" w:rsidR="00675888" w:rsidRPr="00675888" w:rsidRDefault="00675888" w:rsidP="005851AF">
      <w:pPr>
        <w:numPr>
          <w:ilvl w:val="0"/>
          <w:numId w:val="3"/>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1 = ZDV +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ddI</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Didanosine</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Ova kombinacija uključuje upotrebu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zajedno s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Didanosinom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Didanosin</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je također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inhibitor</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reverzne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transkriptaze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ali djeluje na malo drugačiji način od ZDV-a. Kombinacija ovih dvaju lijekova može pojačati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učinak u usporedbi s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monoterapijom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w:t>
      </w:r>
    </w:p>
    <w:p w14:paraId="307EE3B7" w14:textId="77777777" w:rsidR="00675888" w:rsidRPr="00675888" w:rsidRDefault="00675888" w:rsidP="005851AF">
      <w:pPr>
        <w:numPr>
          <w:ilvl w:val="0"/>
          <w:numId w:val="3"/>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2 = ZDV +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Zal</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Ova opcija označava kombinaciju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s još jednim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antiretrovirusnim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lijekom, koji je ovdje označen kao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Zal</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Ovisno o kontekstu,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Zal</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bi mogao biti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placeholder</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za drugi specifični lijek koji se koristio u kombinaciji s ZDV-om. Kombinirana terapija može biti usmjerena na pojačavanje učinka liječenja i smanjenje otpornosti virusa na lijekove.</w:t>
      </w:r>
    </w:p>
    <w:p w14:paraId="0EF2ABA4" w14:textId="77777777" w:rsidR="00675888" w:rsidRPr="00D40162" w:rsidRDefault="00675888" w:rsidP="005851AF">
      <w:pPr>
        <w:numPr>
          <w:ilvl w:val="0"/>
          <w:numId w:val="3"/>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lastRenderedPageBreak/>
        <w:t xml:space="preserve">3 = samo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ddI</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Didanosine</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Kao i u prvom slučaju, ovdje se radi 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monoterapiji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ali koristi se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Didanosine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umjesto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Didanosine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se može koristiti kao alternativa ZDV-u, posebno u situacijama gdje pacijenti možda ne podnose ZDV dobro.</w:t>
      </w:r>
    </w:p>
    <w:p w14:paraId="3F916025" w14:textId="77777777" w:rsidR="00D40162" w:rsidRPr="00675888" w:rsidRDefault="00D40162" w:rsidP="00D40162">
      <w:pPr>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
    <w:p w14:paraId="1D0F0E5A" w14:textId="5BB03487" w:rsidR="00675888" w:rsidRPr="00675888" w:rsidRDefault="00675888" w:rsidP="00D40162">
      <w:pPr>
        <w:spacing w:after="0" w:line="240" w:lineRule="auto"/>
        <w:ind w:left="18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Svaka od ovih terapijskih opcija ima svoje prednosti i nedostatke, uključujući različite profile nuspojava, učinkovitost u smanjenju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viralnog</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opterećenja i potencijal za razvoj otpornosti na lijekove. Odabir tretmana u kliničkim ispitivanjima i u praksi temelji se na nizu faktora, uključujući individualnu toleranciju pacijenta na lijekove, njihovo trenutno stanje i povijest liječenja HIV-a.</w:t>
      </w:r>
    </w:p>
    <w:p w14:paraId="65A6518F"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893C400" w14:textId="77777777" w:rsidR="00675888" w:rsidRPr="00675888" w:rsidRDefault="00675888" w:rsidP="005851AF">
      <w:pPr>
        <w:numPr>
          <w:ilvl w:val="0"/>
          <w:numId w:val="4"/>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age</w:t>
      </w:r>
      <w:r w:rsidRPr="00675888">
        <w:rPr>
          <w:rFonts w:ascii="Calibri" w:eastAsia="Times New Roman" w:hAnsi="Calibri" w:cs="Calibri"/>
          <w:noProof w:val="0"/>
          <w:color w:val="0D0D0D"/>
          <w:kern w:val="0"/>
          <w:sz w:val="24"/>
          <w:szCs w:val="24"/>
          <w:shd w:val="clear" w:color="auto" w:fill="FFFFFF"/>
          <w:lang w:val="hr-HR" w:eastAsia="hr-HR"/>
          <w14:ligatures w14:val="none"/>
        </w:rPr>
        <w:t>: Dob pacijenta u godinama na početku studije. Ova varijabla daje uvid u starosnu distribuciju pacijenata uključenih u ispitivanje.</w:t>
      </w:r>
    </w:p>
    <w:p w14:paraId="17D300CE"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14D29948" w14:textId="77777777" w:rsidR="00675888" w:rsidRPr="00675888" w:rsidRDefault="00675888" w:rsidP="00720591">
      <w:pPr>
        <w:spacing w:after="0" w:line="240" w:lineRule="auto"/>
        <w:jc w:val="both"/>
        <w:rPr>
          <w:rFonts w:ascii="Calibri" w:eastAsia="Times New Roman" w:hAnsi="Calibri" w:cs="Calibri"/>
          <w:noProof w:val="0"/>
          <w:kern w:val="0"/>
          <w:sz w:val="24"/>
          <w:szCs w:val="24"/>
          <w:lang w:val="hr-HR" w:eastAsia="hr-HR"/>
          <w14:ligatures w14:val="none"/>
        </w:rPr>
      </w:pPr>
      <w:r w:rsidRPr="00675888">
        <w:rPr>
          <w:rFonts w:ascii="Calibri" w:eastAsia="Times New Roman" w:hAnsi="Calibri" w:cs="Calibri"/>
          <w:noProof w:val="0"/>
          <w:kern w:val="0"/>
          <w:sz w:val="24"/>
          <w:szCs w:val="24"/>
          <w:lang w:val="hr-HR" w:eastAsia="hr-HR"/>
          <w14:ligatures w14:val="none"/>
        </w:rPr>
        <w:t xml:space="preserve">Dob je temeljna varijabla koja može biti važan čimbenik u analizi ishoda liječenja. Stariji pacijenti mogu imati drugačiji odgovor na liječenje ili veći rizik od nuspojava zbog </w:t>
      </w:r>
      <w:proofErr w:type="spellStart"/>
      <w:r w:rsidRPr="00675888">
        <w:rPr>
          <w:rFonts w:ascii="Calibri" w:eastAsia="Times New Roman" w:hAnsi="Calibri" w:cs="Calibri"/>
          <w:noProof w:val="0"/>
          <w:kern w:val="0"/>
          <w:sz w:val="24"/>
          <w:szCs w:val="24"/>
          <w:lang w:val="hr-HR" w:eastAsia="hr-HR"/>
          <w14:ligatures w14:val="none"/>
        </w:rPr>
        <w:t>komorbiditeta</w:t>
      </w:r>
      <w:proofErr w:type="spellEnd"/>
      <w:r w:rsidRPr="00675888">
        <w:rPr>
          <w:rFonts w:ascii="Calibri" w:eastAsia="Times New Roman" w:hAnsi="Calibri" w:cs="Calibri"/>
          <w:noProof w:val="0"/>
          <w:kern w:val="0"/>
          <w:sz w:val="24"/>
          <w:szCs w:val="24"/>
          <w:lang w:val="hr-HR" w:eastAsia="hr-HR"/>
          <w14:ligatures w14:val="none"/>
        </w:rPr>
        <w:t xml:space="preserve"> ili smanjene fiziološke rezerve.</w:t>
      </w:r>
    </w:p>
    <w:p w14:paraId="55292945" w14:textId="77777777" w:rsidR="001609E0" w:rsidRDefault="00675888" w:rsidP="00720591">
      <w:pPr>
        <w:spacing w:after="0" w:line="240" w:lineRule="auto"/>
        <w:jc w:val="both"/>
        <w:rPr>
          <w:rFonts w:ascii="Calibri" w:eastAsia="Times New Roman" w:hAnsi="Calibri" w:cs="Calibri"/>
          <w:noProof w:val="0"/>
          <w:kern w:val="0"/>
          <w:sz w:val="24"/>
          <w:szCs w:val="24"/>
          <w:lang w:val="hr-HR" w:eastAsia="hr-HR"/>
          <w14:ligatures w14:val="none"/>
        </w:rPr>
      </w:pPr>
      <w:r w:rsidRPr="00675888">
        <w:rPr>
          <w:rFonts w:ascii="Calibri" w:eastAsia="Times New Roman" w:hAnsi="Calibri" w:cs="Calibri"/>
          <w:noProof w:val="0"/>
          <w:kern w:val="0"/>
          <w:sz w:val="24"/>
          <w:szCs w:val="24"/>
          <w:lang w:val="hr-HR" w:eastAsia="hr-HR"/>
          <w14:ligatures w14:val="none"/>
        </w:rPr>
        <w:t> </w:t>
      </w:r>
    </w:p>
    <w:p w14:paraId="4B41BA2B" w14:textId="5FD6F95C" w:rsidR="00675888" w:rsidRPr="00675888" w:rsidRDefault="00675888" w:rsidP="00720591">
      <w:pPr>
        <w:spacing w:after="0" w:line="240" w:lineRule="auto"/>
        <w:jc w:val="both"/>
        <w:rPr>
          <w:rFonts w:ascii="Calibri" w:eastAsia="Times New Roman" w:hAnsi="Calibri" w:cs="Calibri"/>
          <w:noProof w:val="0"/>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Komorbiditet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se odnosi na prisutnost jedne ili više dodatnih bolesti ili poremećaja koji se javljaju istovremeno s primarnom bolešću ili poremećajem. U kontekstu pacijenata s HIV-om,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komorbiditeti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mogu uključivati druge kronične stanja poput dijabetesa, hipertenzije, kardiovaskularnih bolesti, drugih infekcija poput hepatitisa C, ili mentalnih zdravstvenih stanja poput depresije. Prisutnost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komorbiditeta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može komplicirati liječenje osnovne bolesti, utjecati na izbor terapije, povećati rizik od nuspojava i generalno utjecati na prognozu pacijenta.</w:t>
      </w:r>
    </w:p>
    <w:p w14:paraId="2AD32AF0" w14:textId="77777777" w:rsidR="001609E0" w:rsidRDefault="00675888" w:rsidP="00720591">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A3D2AB8" w14:textId="3B6EF5A9" w:rsidR="00675888" w:rsidRDefault="00675888" w:rsidP="00720591">
      <w:pPr>
        <w:spacing w:after="0" w:line="240" w:lineRule="auto"/>
        <w:jc w:val="both"/>
        <w:rPr>
          <w:rFonts w:ascii="Calibri" w:eastAsia="Times New Roman" w:hAnsi="Calibri" w:cs="Calibri"/>
          <w:noProof w:val="0"/>
          <w:color w:val="0D0D0D"/>
          <w:kern w:val="0"/>
          <w:sz w:val="24"/>
          <w:szCs w:val="24"/>
          <w:shd w:val="clear" w:color="auto" w:fill="FFFFFF"/>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Fiziološka rezerva</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odnosi se na sposobnost tijela da se prilagodi stresu, bolesti ili ozljedama. To je mjera koliko dobro tjelesni sustavi mogu održavati normalno funkcioniranje unatoč izazovima. Kod starijih osoba, fiziološka rezerva često je smanjena zbog prirodnog procesa starenja, što znači da su manje sposobne tolerirati stresove poput bolesti, operacija ili intenzivnih tretmana. Smanjena fiziološka rezerva može dovesti do toga da stariji pacijenti imaju sporiji ili manje potpun oporavak od bolesti ili povreda i veću vjerojatnost za razvoj komplikacija tijekom liječenja.</w:t>
      </w:r>
    </w:p>
    <w:p w14:paraId="24A89040" w14:textId="77777777" w:rsidR="008E0B10" w:rsidRPr="00675888" w:rsidRDefault="008E0B10" w:rsidP="00720591">
      <w:pPr>
        <w:spacing w:after="0" w:line="240" w:lineRule="auto"/>
        <w:jc w:val="both"/>
        <w:rPr>
          <w:rFonts w:ascii="Calibri" w:eastAsia="Times New Roman" w:hAnsi="Calibri" w:cs="Calibri"/>
          <w:noProof w:val="0"/>
          <w:color w:val="0D0D0D"/>
          <w:kern w:val="0"/>
          <w:sz w:val="24"/>
          <w:szCs w:val="24"/>
          <w:lang w:val="hr-HR" w:eastAsia="hr-HR"/>
          <w14:ligatures w14:val="none"/>
        </w:rPr>
      </w:pPr>
    </w:p>
    <w:p w14:paraId="7AA8512A" w14:textId="3839D5FE"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Zajedno, komorbiditet i fiziološka rezerva su ključni faktori koji se moraju uzeti u obzir pri procjeni i planiranju liječenja pacijenata, osobito kod starijih osoba ili onih s postojećim zdravstvenim stanjima. Razumijevanje ovih faktora pomaže u optimizaciji pristupa liječenju kako bi se osiguralo najbolje moguće ishode za pacijente.</w:t>
      </w:r>
    </w:p>
    <w:p w14:paraId="263EAD39"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4D882C03" w14:textId="77777777" w:rsidR="00675888" w:rsidRPr="00675888" w:rsidRDefault="00675888" w:rsidP="005851AF">
      <w:pPr>
        <w:numPr>
          <w:ilvl w:val="0"/>
          <w:numId w:val="5"/>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wtkg</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Težina pacijenta u kilogramima na početku studije. Važan je pokazatelj fizičkog stanja pacijenta i može utjecati na ishod liječenja.</w:t>
      </w:r>
    </w:p>
    <w:p w14:paraId="7C0D53CA"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26547162"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wtkg</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Težina pacijenta na početku studije</w:t>
      </w:r>
    </w:p>
    <w:p w14:paraId="108E7FF7"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Težina može utjecati na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farmakokinetiku</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lijekova, što znači da doziranje lijeka može trebati prilagoditi prema tjelesnoj težini. Također, težina može biti pokazatelj nutritivnog stanja pacijenta, što može utjecati na imunološki odgovor.</w:t>
      </w:r>
    </w:p>
    <w:p w14:paraId="45CFE585" w14:textId="77777777" w:rsidR="00675888" w:rsidRPr="00675888" w:rsidRDefault="00675888" w:rsidP="008E0B10">
      <w:pPr>
        <w:spacing w:after="0" w:line="240" w:lineRule="auto"/>
        <w:ind w:left="18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53A50166"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7C3376F9" w14:textId="77777777" w:rsidR="00675888" w:rsidRPr="00675888" w:rsidRDefault="00675888" w:rsidP="005851AF">
      <w:pPr>
        <w:numPr>
          <w:ilvl w:val="0"/>
          <w:numId w:val="6"/>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lastRenderedPageBreak/>
        <w:t>hemo</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Pokazuje postoji li kod pacijenta hemofilija (0 = ne, 1 = da), što je važno zbog većeg rizika od HIV-a kod osoba s hemofilijom.</w:t>
      </w:r>
    </w:p>
    <w:p w14:paraId="5D683540"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1CFCFC4"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hemo</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Hemofilija</w:t>
      </w:r>
    </w:p>
    <w:p w14:paraId="1C623AD1"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Hemofilija je poremećaj zgrušavanja krvi koji može povećati rizik od prijenosa HIV-a kod izloženosti kontaminiranoj krvi, što je bilo češće prije kada su se faktori zgrušavanja krvi pripremali iz bazena ljudske krvi.</w:t>
      </w:r>
    </w:p>
    <w:p w14:paraId="195ED55A" w14:textId="1DD333BD" w:rsidR="00675888" w:rsidRPr="00675888" w:rsidRDefault="00675888" w:rsidP="008E0B10">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662B92F8" w14:textId="77777777" w:rsidR="00675888" w:rsidRPr="00675888" w:rsidRDefault="00675888" w:rsidP="005851AF">
      <w:pPr>
        <w:numPr>
          <w:ilvl w:val="0"/>
          <w:numId w:val="7"/>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homo</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Indikator homoseksualne aktivnosti (0 = ne, 1 = da). Ova informacija je relevantna zbog načina prijenosa HIV-a.</w:t>
      </w:r>
    </w:p>
    <w:p w14:paraId="30B2138E"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AA4F1CC"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homo</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Homoseksualna aktivnost</w:t>
      </w:r>
    </w:p>
    <w:p w14:paraId="64DCF653" w14:textId="77777777" w:rsidR="00675888" w:rsidRPr="00675888" w:rsidRDefault="00675888" w:rsidP="008E0B10">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Homoseksualna aktivnost bila je jedan od najčešćih načina prijenosa HIV-a, posebno u ranim danima epidemije. Ova varijabla pomaže u razumijevanju mogućih puteva infekcije unutar studijske populacije.</w:t>
      </w:r>
    </w:p>
    <w:p w14:paraId="11D5F941" w14:textId="1326D140" w:rsidR="00675888" w:rsidRPr="00675888" w:rsidRDefault="00675888" w:rsidP="008E0B10">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58C7E02B" w14:textId="77777777" w:rsidR="00675888" w:rsidRPr="00675888" w:rsidRDefault="00675888" w:rsidP="005851AF">
      <w:pPr>
        <w:numPr>
          <w:ilvl w:val="0"/>
          <w:numId w:val="8"/>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drugs</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Povijest intravenoznog korištenja droga (0 = ne, 1 = da), što je relevantan faktor rizika za HIV.</w:t>
      </w:r>
    </w:p>
    <w:p w14:paraId="06EFBC3F"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6158292" w14:textId="77777777" w:rsidR="00675888" w:rsidRPr="00675888" w:rsidRDefault="00675888" w:rsidP="00294111">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drugs</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Povijest intravenoznog korištenja droga</w:t>
      </w:r>
    </w:p>
    <w:p w14:paraId="723EF207" w14:textId="77777777" w:rsidR="00675888" w:rsidRPr="00675888" w:rsidRDefault="00675888" w:rsidP="00294111">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Intravenozno korištenje droga povećava rizik od HIV-a zbog dijeljenja igala. Ova varijabla omogućava istraživačima da identificiraju pacijente s većim rizikom od HIV-a povezanog s drogama.</w:t>
      </w:r>
    </w:p>
    <w:p w14:paraId="73D7F252"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E7836B0" w14:textId="77777777" w:rsidR="00675888" w:rsidRPr="00675888" w:rsidRDefault="00675888" w:rsidP="005851AF">
      <w:pPr>
        <w:numPr>
          <w:ilvl w:val="0"/>
          <w:numId w:val="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karnof</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Karnofsky</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ocjena, koja mjeri sposobnost pacijenta da obavlja svakodnevne aktivnosti (na skali od 0-100, gdje više vrijednosti ukazuju na bolje stanje).</w:t>
      </w:r>
    </w:p>
    <w:p w14:paraId="24D6E45E"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6303A93C" w14:textId="77777777" w:rsidR="00675888" w:rsidRPr="00675888" w:rsidRDefault="00675888" w:rsidP="00294111">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karnof</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Karnofsky</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ocjena</w:t>
      </w:r>
    </w:p>
    <w:p w14:paraId="1E8060C1" w14:textId="77777777" w:rsidR="00675888" w:rsidRPr="00675888" w:rsidRDefault="00675888" w:rsidP="00294111">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Karnofsky</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ocjena je mjera općeg stanja pacijenta i sposobnosti obavljanja svakodnevnih aktivnosti. Više vrijednosti ukazuju na bolje zdravstveno stanje, dok niže vrijednosti ukazuju na veće ograničenje.</w:t>
      </w:r>
    </w:p>
    <w:p w14:paraId="3E0C8C8D"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278DF28"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7215C484" w14:textId="77777777" w:rsidR="00675888" w:rsidRPr="00675888" w:rsidRDefault="00675888" w:rsidP="005851AF">
      <w:pPr>
        <w:numPr>
          <w:ilvl w:val="0"/>
          <w:numId w:val="10"/>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oprior</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Pokazuje je li pacijent primao ne-ZDV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antiretrovirusnu</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terapiju prije sudjelovanja u studiji 175 (0 = ne, 1 = da).</w:t>
      </w:r>
    </w:p>
    <w:p w14:paraId="4820E4A1"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0EFDBD1" w14:textId="77777777" w:rsidR="00675888" w:rsidRPr="00675888" w:rsidRDefault="00675888" w:rsidP="00FC3569">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oprior</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Prethodna ne-ZDV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antiretrovirusna</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terapija</w:t>
      </w:r>
    </w:p>
    <w:p w14:paraId="7CD0A6E8" w14:textId="77777777" w:rsidR="00675888" w:rsidRPr="00675888" w:rsidRDefault="00675888" w:rsidP="00FC3569">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Ova varijabla označava je li pacijent koristio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lijekove osim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(ZDV) prije sudjelovanja u studiji. To može biti važno za razumijevanje prethodne izloženosti i potencijalne rezistencije na lijekove.</w:t>
      </w:r>
    </w:p>
    <w:p w14:paraId="6BA00525"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74F247D0" w14:textId="77777777" w:rsidR="00675888" w:rsidRPr="00675888" w:rsidRDefault="00675888" w:rsidP="005851AF">
      <w:pPr>
        <w:numPr>
          <w:ilvl w:val="0"/>
          <w:numId w:val="11"/>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z30</w:t>
      </w:r>
      <w:r w:rsidRPr="00675888">
        <w:rPr>
          <w:rFonts w:ascii="Calibri" w:eastAsia="Times New Roman" w:hAnsi="Calibri" w:cs="Calibri"/>
          <w:noProof w:val="0"/>
          <w:color w:val="0D0D0D"/>
          <w:kern w:val="0"/>
          <w:sz w:val="24"/>
          <w:szCs w:val="24"/>
          <w:shd w:val="clear" w:color="auto" w:fill="FFFFFF"/>
          <w:lang w:val="hr-HR" w:eastAsia="hr-HR"/>
          <w14:ligatures w14:val="none"/>
        </w:rPr>
        <w:t>: ZDV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Zidovudine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upotreba u 30 dana prije početka studije (0 = ne, 1 = da).</w:t>
      </w:r>
    </w:p>
    <w:p w14:paraId="0DB9DBA5"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2E2BFDC4" w14:textId="77777777" w:rsidR="00675888" w:rsidRPr="00675888" w:rsidRDefault="00675888" w:rsidP="00FC3569">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z30: ZDV upotreba u 30 dana prije početka studije</w:t>
      </w:r>
    </w:p>
    <w:p w14:paraId="68B32437" w14:textId="77777777" w:rsidR="00675888" w:rsidRPr="00675888" w:rsidRDefault="00675888" w:rsidP="00FC3569">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Ova varijabla pokazuje je li pacijent uzimao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Zidovudin</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(jedan od prvih dostupnih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antiretrovirusnih</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lijekova) u mjesecu prije početka studije, što može utjecati na otpornost virusa i odabir liječenja.</w:t>
      </w:r>
    </w:p>
    <w:p w14:paraId="3B812DEB"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lastRenderedPageBreak/>
        <w:t> </w:t>
      </w:r>
    </w:p>
    <w:p w14:paraId="65CB6556" w14:textId="77777777" w:rsidR="00675888" w:rsidRPr="00675888" w:rsidRDefault="00675888" w:rsidP="005851AF">
      <w:pPr>
        <w:numPr>
          <w:ilvl w:val="0"/>
          <w:numId w:val="12"/>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zprior</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Bilo koja prethodna upotreba ZDV-a prije studije (0 = ne, 1 = da).</w:t>
      </w:r>
    </w:p>
    <w:p w14:paraId="46FB93B2"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3C5DEC61" w14:textId="77777777" w:rsidR="00675888" w:rsidRPr="00675888" w:rsidRDefault="00675888" w:rsidP="008E7450">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zprior</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Prethodna upotreba ZDV-a</w:t>
      </w:r>
    </w:p>
    <w:p w14:paraId="7A422179" w14:textId="77777777" w:rsidR="00675888" w:rsidRPr="00675888" w:rsidRDefault="00675888" w:rsidP="008E7450">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Slično kao z30, ali se odnosi na bilo koju prethodnu upotrebu ZDV-a, neovisno o vremenskom periodu.</w:t>
      </w:r>
    </w:p>
    <w:p w14:paraId="560B0FCC"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169F43B" w14:textId="77777777" w:rsidR="00675888" w:rsidRPr="00675888" w:rsidRDefault="00675888" w:rsidP="005851AF">
      <w:pPr>
        <w:numPr>
          <w:ilvl w:val="0"/>
          <w:numId w:val="13"/>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preanti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Broj dana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terapije prije početka studije.</w:t>
      </w:r>
    </w:p>
    <w:p w14:paraId="58CB3D38"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7F8799F" w14:textId="77777777" w:rsidR="00675888" w:rsidRPr="00675888" w:rsidRDefault="00675888" w:rsidP="00815F92">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preanti</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Dani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terapije prije studije</w:t>
      </w:r>
    </w:p>
    <w:p w14:paraId="625E7365" w14:textId="77777777" w:rsidR="00675888" w:rsidRPr="00675888" w:rsidRDefault="00675888" w:rsidP="00815F92">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Broji dane na koje je pacijent bio izložen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antiretrovirusnim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lijekovima prije sudjelovanja u studiji, dajući uvid u povijest liječenja.</w:t>
      </w:r>
    </w:p>
    <w:p w14:paraId="5C7DD117"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61CB52AB" w14:textId="77777777" w:rsidR="00675888" w:rsidRPr="00675888" w:rsidRDefault="00675888" w:rsidP="005851AF">
      <w:pPr>
        <w:numPr>
          <w:ilvl w:val="0"/>
          <w:numId w:val="14"/>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race</w:t>
      </w:r>
      <w:r w:rsidRPr="00675888">
        <w:rPr>
          <w:rFonts w:ascii="Calibri" w:eastAsia="Times New Roman" w:hAnsi="Calibri" w:cs="Calibri"/>
          <w:noProof w:val="0"/>
          <w:color w:val="0D0D0D"/>
          <w:kern w:val="0"/>
          <w:sz w:val="24"/>
          <w:szCs w:val="24"/>
          <w:shd w:val="clear" w:color="auto" w:fill="FFFFFF"/>
          <w:lang w:val="hr-HR" w:eastAsia="hr-HR"/>
          <w14:ligatures w14:val="none"/>
        </w:rPr>
        <w:t>: Rasa pacijenta (0 = bijelac, 1 = ne-bijelac), što može biti relevantno za genetske aspekte bolesti ili pristupa liječenju.</w:t>
      </w:r>
    </w:p>
    <w:p w14:paraId="502F58DD"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437101F5" w14:textId="77777777" w:rsidR="00675888" w:rsidRPr="00675888" w:rsidRDefault="00675888" w:rsidP="006D731C">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race: Rasa pacijenta</w:t>
      </w:r>
    </w:p>
    <w:p w14:paraId="6164EE84" w14:textId="77777777" w:rsidR="00675888" w:rsidRPr="00675888" w:rsidRDefault="00675888" w:rsidP="006D731C">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Rasa može biti relevantna zbog genetskih varijacija koje utječu na odgovor na liječenje ili zbog socijalnih i ekonom</w:t>
      </w:r>
    </w:p>
    <w:p w14:paraId="781F27F9"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5E4D7C7B"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5DAD72CB" w14:textId="77777777" w:rsidR="00675888" w:rsidRPr="00675888" w:rsidRDefault="00675888" w:rsidP="005851AF">
      <w:pPr>
        <w:numPr>
          <w:ilvl w:val="0"/>
          <w:numId w:val="15"/>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gender</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Spol pacijenta (0 = žensko, 1 = muško), bitan za razumijevanje demografije studije.</w:t>
      </w:r>
    </w:p>
    <w:p w14:paraId="6219B61A"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F6BF3EA" w14:textId="77777777" w:rsidR="00675888" w:rsidRPr="00675888" w:rsidRDefault="00675888" w:rsidP="00F5461F">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gender</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Spol pacijenta</w:t>
      </w:r>
    </w:p>
    <w:p w14:paraId="3B792423" w14:textId="77777777" w:rsidR="00675888" w:rsidRPr="00675888" w:rsidRDefault="00675888" w:rsidP="00F5461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Spol igra važnu ulogu za razumijevanje demografske strukture populacije i potencijalnih razlika u odgovoru na liječenje ili progresiji bolesti.</w:t>
      </w:r>
    </w:p>
    <w:p w14:paraId="316C1B2C"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1B5B3344"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14CA67BC" w14:textId="77777777" w:rsidR="00675888" w:rsidRPr="00675888" w:rsidRDefault="00675888" w:rsidP="005851AF">
      <w:pPr>
        <w:numPr>
          <w:ilvl w:val="0"/>
          <w:numId w:val="16"/>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str2</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Antiretrovirusna</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povijest (0 = naivan, 1 = iskusan), odnosno je li pacijent ranije bio izložen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liječenju.</w:t>
      </w:r>
    </w:p>
    <w:p w14:paraId="33FA5B55"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268EA306" w14:textId="77777777" w:rsidR="00675888" w:rsidRPr="00675888" w:rsidRDefault="00675888" w:rsidP="00F5461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str2: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Antiretrovirusna</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povijest</w:t>
      </w:r>
    </w:p>
    <w:p w14:paraId="4910DA2C" w14:textId="77777777" w:rsidR="00675888" w:rsidRPr="00675888" w:rsidRDefault="00675888" w:rsidP="00F5461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Ova varijabla kategorizira pacijente na temelju njihove prethodne izloženosti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liječenju, odražavajući njihovu "naivnost" ili "iskustvo" s terapijom.</w:t>
      </w:r>
    </w:p>
    <w:p w14:paraId="268E9E48"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485AF0E5"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63D858A2" w14:textId="77777777" w:rsidR="00675888" w:rsidRPr="00675888" w:rsidRDefault="00675888" w:rsidP="005851AF">
      <w:pPr>
        <w:numPr>
          <w:ilvl w:val="0"/>
          <w:numId w:val="17"/>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strat</w:t>
      </w: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Stratifikacija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povijesti, kategorizacija prema dužini prethodnog liječenja.</w:t>
      </w:r>
    </w:p>
    <w:p w14:paraId="7DCD17B7"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4013B1A7" w14:textId="77777777" w:rsidR="00675888" w:rsidRPr="00675888" w:rsidRDefault="00675888" w:rsidP="004F018C">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strat: Stratifikacija </w:t>
      </w: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antiretrovirusne</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xml:space="preserve"> povijesti</w:t>
      </w:r>
    </w:p>
    <w:p w14:paraId="4E933C58" w14:textId="77777777" w:rsidR="00675888" w:rsidRPr="00675888" w:rsidRDefault="00675888" w:rsidP="004F018C">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Detaljnije kategorizira pacijente prema dužini i intenzitetu prethodnog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antiretrovirusnog</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liječenja, što je važno za razumijevanje potencijalne rezistencije na lijekove.</w:t>
      </w:r>
    </w:p>
    <w:p w14:paraId="017ECC4C" w14:textId="77777777" w:rsidR="00675888" w:rsidRPr="00675888" w:rsidRDefault="00675888" w:rsidP="005851AF">
      <w:pPr>
        <w:spacing w:after="0" w:line="240" w:lineRule="auto"/>
        <w:ind w:left="540"/>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7870284B"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01C6B74B" w14:textId="77777777" w:rsidR="00675888" w:rsidRPr="00675888" w:rsidRDefault="00675888" w:rsidP="005851AF">
      <w:pPr>
        <w:numPr>
          <w:ilvl w:val="0"/>
          <w:numId w:val="18"/>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t>symptom</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xml:space="preserve">: Simptomatski indikator (0 = </w:t>
      </w:r>
      <w:proofErr w:type="spellStart"/>
      <w:r w:rsidRPr="00675888">
        <w:rPr>
          <w:rFonts w:ascii="Calibri" w:eastAsia="Times New Roman" w:hAnsi="Calibri" w:cs="Calibri"/>
          <w:noProof w:val="0"/>
          <w:color w:val="0D0D0D"/>
          <w:kern w:val="0"/>
          <w:sz w:val="24"/>
          <w:szCs w:val="24"/>
          <w:shd w:val="clear" w:color="auto" w:fill="FFFFFF"/>
          <w:lang w:val="hr-HR" w:eastAsia="hr-HR"/>
          <w14:ligatures w14:val="none"/>
        </w:rPr>
        <w:t>asimptomatski</w:t>
      </w:r>
      <w:proofErr w:type="spellEnd"/>
      <w:r w:rsidRPr="00675888">
        <w:rPr>
          <w:rFonts w:ascii="Calibri" w:eastAsia="Times New Roman" w:hAnsi="Calibri" w:cs="Calibri"/>
          <w:noProof w:val="0"/>
          <w:color w:val="0D0D0D"/>
          <w:kern w:val="0"/>
          <w:sz w:val="24"/>
          <w:szCs w:val="24"/>
          <w:shd w:val="clear" w:color="auto" w:fill="FFFFFF"/>
          <w:lang w:val="hr-HR" w:eastAsia="hr-HR"/>
          <w14:ligatures w14:val="none"/>
        </w:rPr>
        <w:t>, 1 = simptomatski), označava prisutnost simptoma povezanih</w:t>
      </w:r>
    </w:p>
    <w:p w14:paraId="3F72626E" w14:textId="77777777" w:rsidR="00675888" w:rsidRPr="00675888" w:rsidRDefault="00675888"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lang w:val="hr-HR" w:eastAsia="hr-HR"/>
          <w14:ligatures w14:val="none"/>
        </w:rPr>
        <w:t> </w:t>
      </w:r>
    </w:p>
    <w:p w14:paraId="2236F9EB" w14:textId="77777777" w:rsidR="00675888" w:rsidRPr="00675888" w:rsidRDefault="00675888" w:rsidP="004F018C">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675888">
        <w:rPr>
          <w:rFonts w:ascii="Calibri" w:eastAsia="Times New Roman" w:hAnsi="Calibri" w:cs="Calibri"/>
          <w:b/>
          <w:bCs/>
          <w:noProof w:val="0"/>
          <w:color w:val="0D0D0D"/>
          <w:kern w:val="0"/>
          <w:sz w:val="24"/>
          <w:szCs w:val="24"/>
          <w:shd w:val="clear" w:color="auto" w:fill="FFFFFF"/>
          <w:lang w:val="hr-HR" w:eastAsia="hr-HR"/>
          <w14:ligatures w14:val="none"/>
        </w:rPr>
        <w:lastRenderedPageBreak/>
        <w:t>symptom</w:t>
      </w:r>
      <w:proofErr w:type="spellEnd"/>
      <w:r w:rsidRPr="00675888">
        <w:rPr>
          <w:rFonts w:ascii="Calibri" w:eastAsia="Times New Roman" w:hAnsi="Calibri" w:cs="Calibri"/>
          <w:b/>
          <w:bCs/>
          <w:noProof w:val="0"/>
          <w:color w:val="0D0D0D"/>
          <w:kern w:val="0"/>
          <w:sz w:val="24"/>
          <w:szCs w:val="24"/>
          <w:shd w:val="clear" w:color="auto" w:fill="FFFFFF"/>
          <w:lang w:val="hr-HR" w:eastAsia="hr-HR"/>
          <w14:ligatures w14:val="none"/>
        </w:rPr>
        <w:t>: Simptomatski indikator</w:t>
      </w:r>
    </w:p>
    <w:p w14:paraId="321E82B1" w14:textId="77777777" w:rsidR="00675888" w:rsidRPr="00675888" w:rsidRDefault="00675888" w:rsidP="004F018C">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675888">
        <w:rPr>
          <w:rFonts w:ascii="Calibri" w:eastAsia="Times New Roman" w:hAnsi="Calibri" w:cs="Calibri"/>
          <w:noProof w:val="0"/>
          <w:color w:val="0D0D0D"/>
          <w:kern w:val="0"/>
          <w:sz w:val="24"/>
          <w:szCs w:val="24"/>
          <w:shd w:val="clear" w:color="auto" w:fill="FFFFFF"/>
          <w:lang w:val="hr-HR" w:eastAsia="hr-HR"/>
          <w14:ligatures w14:val="none"/>
        </w:rPr>
        <w:t>Ova varijabla razlikuje pacijente na temelju prisutnosti ili odsutnosti simptoma bolesti, što može utjecati na odabir i ciljeve liječenja.</w:t>
      </w:r>
    </w:p>
    <w:p w14:paraId="69FBC20A" w14:textId="77777777" w:rsidR="0001180D" w:rsidRDefault="0001180D" w:rsidP="005851AF">
      <w:pPr>
        <w:jc w:val="both"/>
        <w:rPr>
          <w:rFonts w:ascii="Calibri" w:hAnsi="Calibri" w:cs="Calibri"/>
          <w:sz w:val="24"/>
          <w:szCs w:val="24"/>
        </w:rPr>
      </w:pPr>
    </w:p>
    <w:p w14:paraId="3D81ECCE"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treat</w:t>
      </w:r>
      <w:r w:rsidRPr="00816F1B">
        <w:rPr>
          <w:rFonts w:ascii="Calibri" w:hAnsi="Calibri" w:cs="Calibri"/>
          <w:sz w:val="24"/>
          <w:szCs w:val="24"/>
          <w:lang w:val="hr-HR"/>
        </w:rPr>
        <w:t>: Indikator tretmana koji pacijent prima, sličan varijabli trt, ali se ovdje fokusira na razlikovanje između primanja samo ZDV (Zidovudine) i drugih tretmana (0 = samo ZDV, 1 = ostali tretmani). Ova varijabla pomaže u razumijevanju kako se različiti režimi liječenja uspoređuju u smislu ishoda za pacijente.</w:t>
      </w:r>
    </w:p>
    <w:p w14:paraId="3C6676C6"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offtrt</w:t>
      </w:r>
      <w:r w:rsidRPr="00816F1B">
        <w:rPr>
          <w:rFonts w:ascii="Calibri" w:hAnsi="Calibri" w:cs="Calibri"/>
          <w:sz w:val="24"/>
          <w:szCs w:val="24"/>
          <w:lang w:val="hr-HR"/>
        </w:rPr>
        <w:t>: Pokazuje je li pacijent prestao s tretmanom prije 96±5 tjedana (0 = ne, 1 = da). Ova informacija je važna za analizu utjecaja prekida tretmana na dugoročne ishode, uključujući preživljavanje i progresiju bolesti.</w:t>
      </w:r>
    </w:p>
    <w:p w14:paraId="41E75EE6"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cd40</w:t>
      </w:r>
      <w:r w:rsidRPr="00816F1B">
        <w:rPr>
          <w:rFonts w:ascii="Calibri" w:hAnsi="Calibri" w:cs="Calibri"/>
          <w:sz w:val="24"/>
          <w:szCs w:val="24"/>
          <w:lang w:val="hr-HR"/>
        </w:rPr>
        <w:t>: CD4 broj na početku studije. CD4 stanice su vrsta bijelih krvnih stanica koje igraju ključnu ulogu u imunološkom odgovoru. HIV napada i uništava CD4 stanice, što slabi imunološki sustav. Početni broj CD4 stanica može pružiti uvid u stupanj imunološkog oštećenja prije početka liječenja.</w:t>
      </w:r>
    </w:p>
    <w:p w14:paraId="643076A4"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cd420</w:t>
      </w:r>
      <w:r w:rsidRPr="00816F1B">
        <w:rPr>
          <w:rFonts w:ascii="Calibri" w:hAnsi="Calibri" w:cs="Calibri"/>
          <w:sz w:val="24"/>
          <w:szCs w:val="24"/>
          <w:lang w:val="hr-HR"/>
        </w:rPr>
        <w:t>: CD4 broj na 20±5 tjedana. Praćenje promjene CD4 broja tijekom vremena omogućuje procjenu učinkovitosti antiretrovirusnog tretmana u obnovi imunološkog odgovora.</w:t>
      </w:r>
    </w:p>
    <w:p w14:paraId="324470A8"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cd80</w:t>
      </w:r>
      <w:r w:rsidRPr="00816F1B">
        <w:rPr>
          <w:rFonts w:ascii="Calibri" w:hAnsi="Calibri" w:cs="Calibri"/>
          <w:sz w:val="24"/>
          <w:szCs w:val="24"/>
          <w:lang w:val="hr-HR"/>
        </w:rPr>
        <w:t>: CD8 broj na početku studije. CD8 stanice su još jedna vrsta bijelih krvnih stanica, poznate kao citotoksične T stanice, koje mogu ubijati zaražene stanice. U kontekstu HIV-a, visoki CD8 brojevi mogu odražavati pokušaj tijela da se bori protiv virusa.</w:t>
      </w:r>
    </w:p>
    <w:p w14:paraId="06A2B946"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cd820</w:t>
      </w:r>
      <w:r w:rsidRPr="00816F1B">
        <w:rPr>
          <w:rFonts w:ascii="Calibri" w:hAnsi="Calibri" w:cs="Calibri"/>
          <w:sz w:val="24"/>
          <w:szCs w:val="24"/>
          <w:lang w:val="hr-HR"/>
        </w:rPr>
        <w:t>: CD8 broj na 20±5 tjedana. Kao i kod CD4, promjene u broju CD8 stanica tijekom vremena mogu pružiti uvid u imunološki odgovor na antiretrovirusni tretman.</w:t>
      </w:r>
    </w:p>
    <w:p w14:paraId="2BAA568C" w14:textId="77777777" w:rsidR="00816F1B" w:rsidRPr="00816F1B" w:rsidRDefault="00816F1B" w:rsidP="00816F1B">
      <w:pPr>
        <w:numPr>
          <w:ilvl w:val="0"/>
          <w:numId w:val="20"/>
        </w:numPr>
        <w:jc w:val="both"/>
        <w:rPr>
          <w:rFonts w:ascii="Calibri" w:hAnsi="Calibri" w:cs="Calibri"/>
          <w:sz w:val="24"/>
          <w:szCs w:val="24"/>
          <w:lang w:val="hr-HR"/>
        </w:rPr>
      </w:pPr>
      <w:r w:rsidRPr="00816F1B">
        <w:rPr>
          <w:rFonts w:ascii="Calibri" w:hAnsi="Calibri" w:cs="Calibri"/>
          <w:b/>
          <w:bCs/>
          <w:sz w:val="24"/>
          <w:szCs w:val="24"/>
          <w:lang w:val="hr-HR"/>
        </w:rPr>
        <w:t>cid</w:t>
      </w:r>
      <w:r w:rsidRPr="00816F1B">
        <w:rPr>
          <w:rFonts w:ascii="Calibri" w:hAnsi="Calibri" w:cs="Calibri"/>
          <w:sz w:val="24"/>
          <w:szCs w:val="24"/>
          <w:lang w:val="hr-HR"/>
        </w:rPr>
        <w:t>: Indikator cenzuriranja (1 = neuspjeh, 0 = cenzuriranje). Ova varijabla razlikuje između pacijenata koji su doživjeli "neuspjeh" (npr., smrt ili značajno pogoršanje stanja) od onih čiji su podaci cenzurirani (npr., izgubljeni u praćenju ili studija završena prije nego što se dogodio ishod). Razumijevanje razlike između ovih ishoda ključno je za točnu analizu preživljavanja i efikasnosti tretmana.</w:t>
      </w:r>
    </w:p>
    <w:p w14:paraId="06823D5E" w14:textId="77777777" w:rsidR="00816F1B" w:rsidRDefault="00816F1B" w:rsidP="005851AF">
      <w:pPr>
        <w:jc w:val="both"/>
        <w:rPr>
          <w:rFonts w:ascii="Calibri" w:hAnsi="Calibri" w:cs="Calibri"/>
          <w:sz w:val="24"/>
          <w:szCs w:val="24"/>
        </w:rPr>
      </w:pPr>
    </w:p>
    <w:p w14:paraId="334E7DD1" w14:textId="77777777" w:rsidR="00816F1B" w:rsidRPr="005851AF" w:rsidRDefault="00816F1B" w:rsidP="005851AF">
      <w:pPr>
        <w:jc w:val="both"/>
        <w:rPr>
          <w:rFonts w:ascii="Calibri" w:hAnsi="Calibri" w:cs="Calibri"/>
          <w:sz w:val="24"/>
          <w:szCs w:val="24"/>
        </w:rPr>
      </w:pPr>
    </w:p>
    <w:p w14:paraId="72781528" w14:textId="77777777" w:rsidR="005851AF" w:rsidRPr="005851AF" w:rsidRDefault="005851AF" w:rsidP="005851AF">
      <w:pPr>
        <w:jc w:val="both"/>
        <w:rPr>
          <w:rFonts w:ascii="Calibri" w:hAnsi="Calibri" w:cs="Calibri"/>
          <w:sz w:val="24"/>
          <w:szCs w:val="24"/>
        </w:rPr>
      </w:pPr>
    </w:p>
    <w:p w14:paraId="1755D647" w14:textId="77777777" w:rsidR="005851AF" w:rsidRPr="005851AF" w:rsidRDefault="005851AF"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b/>
          <w:bCs/>
          <w:noProof w:val="0"/>
          <w:color w:val="0D0D0D"/>
          <w:kern w:val="0"/>
          <w:sz w:val="24"/>
          <w:szCs w:val="24"/>
          <w:shd w:val="clear" w:color="auto" w:fill="FFFFFF"/>
          <w:lang w:val="hr-HR" w:eastAsia="hr-HR"/>
          <w14:ligatures w14:val="none"/>
        </w:rPr>
        <w:t>Antiretrovirusna</w:t>
      </w:r>
      <w:proofErr w:type="spellEnd"/>
      <w:r w:rsidRPr="005851AF">
        <w:rPr>
          <w:rFonts w:ascii="Calibri" w:eastAsia="Times New Roman" w:hAnsi="Calibri" w:cs="Calibri"/>
          <w:b/>
          <w:bCs/>
          <w:noProof w:val="0"/>
          <w:color w:val="0D0D0D"/>
          <w:kern w:val="0"/>
          <w:sz w:val="24"/>
          <w:szCs w:val="24"/>
          <w:shd w:val="clear" w:color="auto" w:fill="FFFFFF"/>
          <w:lang w:val="hr-HR" w:eastAsia="hr-HR"/>
          <w14:ligatures w14:val="none"/>
        </w:rPr>
        <w:t xml:space="preserve"> terapija (ART)</w:t>
      </w:r>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je liječenje koje se koristi za upravljanje i kontrolu infekcije virusom humane imunodeficijencije (HIV), virusom koji uzrokuje AIDS (sindrom stečene imunodeficijencije). ART ne liječi HIV, ali može značajno usporiti napredovanje bolesti, smanjiti količinu virusa u tijelu (virusno opterećenje) do razina koje su često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nedetektibilne</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laboratorijskim testovima, i pomoći u očuvanju funkcije imunološkog sustava. Cilj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antiretrovirusne</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terapije je produljiti i poboljšati kvalitetu života zaraženih osoba.</w:t>
      </w:r>
    </w:p>
    <w:p w14:paraId="530A2ED2" w14:textId="77777777" w:rsidR="005851AF" w:rsidRPr="005851AF" w:rsidRDefault="005851AF"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5851AF">
        <w:rPr>
          <w:rFonts w:ascii="Calibri" w:eastAsia="Times New Roman" w:hAnsi="Calibri" w:cs="Calibri"/>
          <w:noProof w:val="0"/>
          <w:color w:val="0D0D0D"/>
          <w:kern w:val="0"/>
          <w:sz w:val="24"/>
          <w:szCs w:val="24"/>
          <w:lang w:val="hr-HR" w:eastAsia="hr-HR"/>
          <w14:ligatures w14:val="none"/>
        </w:rPr>
        <w:t> </w:t>
      </w:r>
    </w:p>
    <w:p w14:paraId="48B2FDA3" w14:textId="77777777" w:rsidR="005851AF" w:rsidRPr="005851AF" w:rsidRDefault="005851AF"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lastRenderedPageBreak/>
        <w:t>Antiretrovirusni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lijekovi djeluju na različite faze životnog ciklusa HIV-a kako bi spriječili njegovo umnožavanje i širenje u tijelu. Terapija obično uključuje kombinaciju lijekova iz različitih klasa kako bi se spriječila otpornost virusa na lijekove, stanje u kojem HIV mutira i postaje manje osjetljiv ili potpuno otporan na djelovanje jednog ili više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antiretrovirusnih</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lijekova.</w:t>
      </w:r>
    </w:p>
    <w:p w14:paraId="15B93DC5" w14:textId="77777777" w:rsidR="005851AF" w:rsidRPr="005851AF" w:rsidRDefault="005851AF"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Osnovne klase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antiretrovirusnih</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lijekova uključuju:</w:t>
      </w:r>
    </w:p>
    <w:p w14:paraId="7E836316" w14:textId="77777777" w:rsidR="005851AF" w:rsidRPr="005851AF" w:rsidRDefault="005851AF" w:rsidP="005851AF">
      <w:pPr>
        <w:numPr>
          <w:ilvl w:val="0"/>
          <w:numId w:val="1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reverzne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transkriptaze</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(NRTI i NNRTI): Onemogućavaju virusu da koristi reverznu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transkriptazu</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enzim potreban za pretvorbu virusne RNA u DNA. To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spriječava</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HIV da se integrira u genski materijal domaćina i replicira se.</w:t>
      </w:r>
    </w:p>
    <w:p w14:paraId="117D4FDC" w14:textId="77777777" w:rsidR="005851AF" w:rsidRPr="005851AF" w:rsidRDefault="005851AF" w:rsidP="005851AF">
      <w:pPr>
        <w:numPr>
          <w:ilvl w:val="0"/>
          <w:numId w:val="1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proteaze</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Sprječavaju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proteazu</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enzim koji HIV koristi za razgradnju proteina potrebnih za sastavljanje novih virusnih čestica.</w:t>
      </w:r>
    </w:p>
    <w:p w14:paraId="0F6D70FC" w14:textId="77777777" w:rsidR="005851AF" w:rsidRPr="005851AF" w:rsidRDefault="005851AF" w:rsidP="005851AF">
      <w:pPr>
        <w:numPr>
          <w:ilvl w:val="0"/>
          <w:numId w:val="1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fuzije i ulaska: Blokiraju sposobnost HIV-a da uđe u T-stanice domaćina tako što sprječavaju spajanje virusne ovojnice s membranom T-stanice.</w:t>
      </w:r>
    </w:p>
    <w:p w14:paraId="749420A7" w14:textId="77777777" w:rsidR="005851AF" w:rsidRPr="005851AF" w:rsidRDefault="005851AF" w:rsidP="005851AF">
      <w:pPr>
        <w:numPr>
          <w:ilvl w:val="0"/>
          <w:numId w:val="1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integracije: Sprječavaju integraciju, proces kojim se HIV-ova DNA umetne u genski materijal T-stanice domaćina.</w:t>
      </w:r>
    </w:p>
    <w:p w14:paraId="71B58DD7" w14:textId="77777777" w:rsidR="005851AF" w:rsidRPr="005851AF" w:rsidRDefault="005851AF" w:rsidP="005851AF">
      <w:pPr>
        <w:numPr>
          <w:ilvl w:val="0"/>
          <w:numId w:val="19"/>
        </w:numPr>
        <w:tabs>
          <w:tab w:val="clear" w:pos="720"/>
          <w:tab w:val="num" w:pos="180"/>
        </w:tabs>
        <w:spacing w:after="0" w:line="240" w:lineRule="auto"/>
        <w:ind w:left="180"/>
        <w:jc w:val="both"/>
        <w:textAlignment w:val="center"/>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Inhibitori</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post-vezanja: Djeluju nakon što se HIV veže za T-stanicu, ali prije nego što virus uđe u stanicu.</w:t>
      </w:r>
    </w:p>
    <w:p w14:paraId="5D0F75F4" w14:textId="77777777" w:rsidR="005851AF" w:rsidRPr="005851AF" w:rsidRDefault="005851AF" w:rsidP="005851AF">
      <w:pPr>
        <w:spacing w:after="0" w:line="240" w:lineRule="auto"/>
        <w:jc w:val="both"/>
        <w:rPr>
          <w:rFonts w:ascii="Calibri" w:eastAsia="Times New Roman" w:hAnsi="Calibri" w:cs="Calibri"/>
          <w:noProof w:val="0"/>
          <w:color w:val="0D0D0D"/>
          <w:kern w:val="0"/>
          <w:sz w:val="24"/>
          <w:szCs w:val="24"/>
          <w:lang w:val="hr-HR" w:eastAsia="hr-HR"/>
          <w14:ligatures w14:val="none"/>
        </w:rPr>
      </w:pP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Antiretrovirusna</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terapija je ključni element u upravljanju HIV infekcijom i sprječavanju njezina napredovanja do AIDS-a. Osim što poboljšava zdravlje pojedinca, smanjenje virusnog opterećenja do </w:t>
      </w:r>
      <w:proofErr w:type="spellStart"/>
      <w:r w:rsidRPr="005851AF">
        <w:rPr>
          <w:rFonts w:ascii="Calibri" w:eastAsia="Times New Roman" w:hAnsi="Calibri" w:cs="Calibri"/>
          <w:noProof w:val="0"/>
          <w:color w:val="0D0D0D"/>
          <w:kern w:val="0"/>
          <w:sz w:val="24"/>
          <w:szCs w:val="24"/>
          <w:shd w:val="clear" w:color="auto" w:fill="FFFFFF"/>
          <w:lang w:val="hr-HR" w:eastAsia="hr-HR"/>
          <w14:ligatures w14:val="none"/>
        </w:rPr>
        <w:t>nedetektibilnih</w:t>
      </w:r>
      <w:proofErr w:type="spellEnd"/>
      <w:r w:rsidRPr="005851AF">
        <w:rPr>
          <w:rFonts w:ascii="Calibri" w:eastAsia="Times New Roman" w:hAnsi="Calibri" w:cs="Calibri"/>
          <w:noProof w:val="0"/>
          <w:color w:val="0D0D0D"/>
          <w:kern w:val="0"/>
          <w:sz w:val="24"/>
          <w:szCs w:val="24"/>
          <w:shd w:val="clear" w:color="auto" w:fill="FFFFFF"/>
          <w:lang w:val="hr-HR" w:eastAsia="hr-HR"/>
          <w14:ligatures w14:val="none"/>
        </w:rPr>
        <w:t xml:space="preserve"> razina također smanjuje rizik od prijenosa virusa na druge osobe.</w:t>
      </w:r>
    </w:p>
    <w:p w14:paraId="75EE7CA5" w14:textId="77777777" w:rsidR="005851AF" w:rsidRPr="005851AF" w:rsidRDefault="005851AF" w:rsidP="005851AF">
      <w:pPr>
        <w:jc w:val="both"/>
        <w:rPr>
          <w:rFonts w:ascii="Calibri" w:hAnsi="Calibri" w:cs="Calibri"/>
          <w:sz w:val="24"/>
          <w:szCs w:val="24"/>
        </w:rPr>
      </w:pPr>
    </w:p>
    <w:sectPr w:rsidR="005851AF" w:rsidRPr="00585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CCB"/>
    <w:multiLevelType w:val="multilevel"/>
    <w:tmpl w:val="F59C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A2D1A"/>
    <w:multiLevelType w:val="multilevel"/>
    <w:tmpl w:val="F27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D18E8"/>
    <w:multiLevelType w:val="multilevel"/>
    <w:tmpl w:val="5A9A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90267"/>
    <w:multiLevelType w:val="multilevel"/>
    <w:tmpl w:val="AAD4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B46D8"/>
    <w:multiLevelType w:val="multilevel"/>
    <w:tmpl w:val="196E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F7CF7"/>
    <w:multiLevelType w:val="multilevel"/>
    <w:tmpl w:val="C5C2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4798B"/>
    <w:multiLevelType w:val="multilevel"/>
    <w:tmpl w:val="46BC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22EDF"/>
    <w:multiLevelType w:val="multilevel"/>
    <w:tmpl w:val="DFA6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15451"/>
    <w:multiLevelType w:val="multilevel"/>
    <w:tmpl w:val="E730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40292"/>
    <w:multiLevelType w:val="multilevel"/>
    <w:tmpl w:val="B832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A0EB7"/>
    <w:multiLevelType w:val="multilevel"/>
    <w:tmpl w:val="559C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F20BF"/>
    <w:multiLevelType w:val="multilevel"/>
    <w:tmpl w:val="0A24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22CB8"/>
    <w:multiLevelType w:val="multilevel"/>
    <w:tmpl w:val="9484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707AA"/>
    <w:multiLevelType w:val="multilevel"/>
    <w:tmpl w:val="887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86C99"/>
    <w:multiLevelType w:val="multilevel"/>
    <w:tmpl w:val="E82E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13FBA"/>
    <w:multiLevelType w:val="multilevel"/>
    <w:tmpl w:val="02E2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3118A"/>
    <w:multiLevelType w:val="multilevel"/>
    <w:tmpl w:val="067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8102E"/>
    <w:multiLevelType w:val="multilevel"/>
    <w:tmpl w:val="D832A3AE"/>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C825468"/>
    <w:multiLevelType w:val="multilevel"/>
    <w:tmpl w:val="AC7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40551"/>
    <w:multiLevelType w:val="multilevel"/>
    <w:tmpl w:val="44A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631433">
    <w:abstractNumId w:val="12"/>
    <w:lvlOverride w:ilvl="0">
      <w:startOverride w:val="1"/>
    </w:lvlOverride>
  </w:num>
  <w:num w:numId="2" w16cid:durableId="1949924014">
    <w:abstractNumId w:val="5"/>
    <w:lvlOverride w:ilvl="0">
      <w:startOverride w:val="2"/>
    </w:lvlOverride>
  </w:num>
  <w:num w:numId="3" w16cid:durableId="1121150550">
    <w:abstractNumId w:val="19"/>
  </w:num>
  <w:num w:numId="4" w16cid:durableId="1257790346">
    <w:abstractNumId w:val="9"/>
    <w:lvlOverride w:ilvl="0">
      <w:startOverride w:val="3"/>
    </w:lvlOverride>
  </w:num>
  <w:num w:numId="5" w16cid:durableId="1864514865">
    <w:abstractNumId w:val="6"/>
    <w:lvlOverride w:ilvl="0">
      <w:startOverride w:val="4"/>
    </w:lvlOverride>
  </w:num>
  <w:num w:numId="6" w16cid:durableId="588392162">
    <w:abstractNumId w:val="4"/>
    <w:lvlOverride w:ilvl="0">
      <w:startOverride w:val="5"/>
    </w:lvlOverride>
  </w:num>
  <w:num w:numId="7" w16cid:durableId="844826178">
    <w:abstractNumId w:val="15"/>
    <w:lvlOverride w:ilvl="0">
      <w:startOverride w:val="6"/>
    </w:lvlOverride>
  </w:num>
  <w:num w:numId="8" w16cid:durableId="377123324">
    <w:abstractNumId w:val="18"/>
    <w:lvlOverride w:ilvl="0">
      <w:startOverride w:val="7"/>
    </w:lvlOverride>
  </w:num>
  <w:num w:numId="9" w16cid:durableId="1501239329">
    <w:abstractNumId w:val="7"/>
    <w:lvlOverride w:ilvl="0">
      <w:startOverride w:val="8"/>
    </w:lvlOverride>
  </w:num>
  <w:num w:numId="10" w16cid:durableId="16740122">
    <w:abstractNumId w:val="2"/>
    <w:lvlOverride w:ilvl="0">
      <w:startOverride w:val="9"/>
    </w:lvlOverride>
  </w:num>
  <w:num w:numId="11" w16cid:durableId="1300262627">
    <w:abstractNumId w:val="3"/>
    <w:lvlOverride w:ilvl="0">
      <w:startOverride w:val="10"/>
    </w:lvlOverride>
  </w:num>
  <w:num w:numId="12" w16cid:durableId="6367047">
    <w:abstractNumId w:val="8"/>
    <w:lvlOverride w:ilvl="0">
      <w:startOverride w:val="11"/>
    </w:lvlOverride>
  </w:num>
  <w:num w:numId="13" w16cid:durableId="1222868215">
    <w:abstractNumId w:val="14"/>
    <w:lvlOverride w:ilvl="0">
      <w:startOverride w:val="12"/>
    </w:lvlOverride>
  </w:num>
  <w:num w:numId="14" w16cid:durableId="1408457563">
    <w:abstractNumId w:val="13"/>
    <w:lvlOverride w:ilvl="0">
      <w:startOverride w:val="13"/>
    </w:lvlOverride>
  </w:num>
  <w:num w:numId="15" w16cid:durableId="1967617172">
    <w:abstractNumId w:val="10"/>
    <w:lvlOverride w:ilvl="0">
      <w:startOverride w:val="14"/>
    </w:lvlOverride>
  </w:num>
  <w:num w:numId="16" w16cid:durableId="2107725859">
    <w:abstractNumId w:val="11"/>
    <w:lvlOverride w:ilvl="0">
      <w:startOverride w:val="15"/>
    </w:lvlOverride>
  </w:num>
  <w:num w:numId="17" w16cid:durableId="1633750005">
    <w:abstractNumId w:val="1"/>
    <w:lvlOverride w:ilvl="0">
      <w:startOverride w:val="16"/>
    </w:lvlOverride>
  </w:num>
  <w:num w:numId="18" w16cid:durableId="1259679604">
    <w:abstractNumId w:val="16"/>
    <w:lvlOverride w:ilvl="0">
      <w:startOverride w:val="17"/>
    </w:lvlOverride>
  </w:num>
  <w:num w:numId="19" w16cid:durableId="236138198">
    <w:abstractNumId w:val="0"/>
    <w:lvlOverride w:ilvl="0">
      <w:startOverride w:val="1"/>
    </w:lvlOverride>
  </w:num>
  <w:num w:numId="20" w16cid:durableId="1595359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87A"/>
    <w:rsid w:val="0001180D"/>
    <w:rsid w:val="000C0324"/>
    <w:rsid w:val="001609E0"/>
    <w:rsid w:val="00294111"/>
    <w:rsid w:val="004F018C"/>
    <w:rsid w:val="004F687A"/>
    <w:rsid w:val="005851AF"/>
    <w:rsid w:val="00675888"/>
    <w:rsid w:val="006D731C"/>
    <w:rsid w:val="00720591"/>
    <w:rsid w:val="007F708E"/>
    <w:rsid w:val="00815F92"/>
    <w:rsid w:val="00816F1B"/>
    <w:rsid w:val="008E0B10"/>
    <w:rsid w:val="008E7450"/>
    <w:rsid w:val="00A32AE5"/>
    <w:rsid w:val="00BD49D7"/>
    <w:rsid w:val="00C86C12"/>
    <w:rsid w:val="00D40162"/>
    <w:rsid w:val="00F5461F"/>
    <w:rsid w:val="00FC356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AC35"/>
  <w15:chartTrackingRefBased/>
  <w15:docId w15:val="{1C26D006-98E0-4315-A9E3-BE3A43F4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4F6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7A"/>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F687A"/>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F687A"/>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F687A"/>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4F687A"/>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4F687A"/>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4F687A"/>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4F687A"/>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4F687A"/>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4F6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7A"/>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4F6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7A"/>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4F687A"/>
    <w:pPr>
      <w:spacing w:before="160"/>
      <w:jc w:val="center"/>
    </w:pPr>
    <w:rPr>
      <w:i/>
      <w:iCs/>
      <w:color w:val="404040" w:themeColor="text1" w:themeTint="BF"/>
    </w:rPr>
  </w:style>
  <w:style w:type="character" w:customStyle="1" w:styleId="QuoteChar">
    <w:name w:val="Quote Char"/>
    <w:basedOn w:val="DefaultParagraphFont"/>
    <w:link w:val="Quote"/>
    <w:uiPriority w:val="29"/>
    <w:rsid w:val="004F687A"/>
    <w:rPr>
      <w:i/>
      <w:iCs/>
      <w:noProof/>
      <w:color w:val="404040" w:themeColor="text1" w:themeTint="BF"/>
      <w:lang w:val="en-US"/>
    </w:rPr>
  </w:style>
  <w:style w:type="paragraph" w:styleId="ListParagraph">
    <w:name w:val="List Paragraph"/>
    <w:basedOn w:val="Normal"/>
    <w:uiPriority w:val="34"/>
    <w:qFormat/>
    <w:rsid w:val="004F687A"/>
    <w:pPr>
      <w:ind w:left="720"/>
      <w:contextualSpacing/>
    </w:pPr>
  </w:style>
  <w:style w:type="character" w:styleId="IntenseEmphasis">
    <w:name w:val="Intense Emphasis"/>
    <w:basedOn w:val="DefaultParagraphFont"/>
    <w:uiPriority w:val="21"/>
    <w:qFormat/>
    <w:rsid w:val="004F687A"/>
    <w:rPr>
      <w:i/>
      <w:iCs/>
      <w:color w:val="0F4761" w:themeColor="accent1" w:themeShade="BF"/>
    </w:rPr>
  </w:style>
  <w:style w:type="paragraph" w:styleId="IntenseQuote">
    <w:name w:val="Intense Quote"/>
    <w:basedOn w:val="Normal"/>
    <w:next w:val="Normal"/>
    <w:link w:val="IntenseQuoteChar"/>
    <w:uiPriority w:val="30"/>
    <w:qFormat/>
    <w:rsid w:val="004F6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7A"/>
    <w:rPr>
      <w:i/>
      <w:iCs/>
      <w:noProof/>
      <w:color w:val="0F4761" w:themeColor="accent1" w:themeShade="BF"/>
      <w:lang w:val="en-US"/>
    </w:rPr>
  </w:style>
  <w:style w:type="character" w:styleId="IntenseReference">
    <w:name w:val="Intense Reference"/>
    <w:basedOn w:val="DefaultParagraphFont"/>
    <w:uiPriority w:val="32"/>
    <w:qFormat/>
    <w:rsid w:val="004F687A"/>
    <w:rPr>
      <w:b/>
      <w:bCs/>
      <w:smallCaps/>
      <w:color w:val="0F4761" w:themeColor="accent1" w:themeShade="BF"/>
      <w:spacing w:val="5"/>
    </w:rPr>
  </w:style>
  <w:style w:type="paragraph" w:styleId="NormalWeb">
    <w:name w:val="Normal (Web)"/>
    <w:basedOn w:val="Normal"/>
    <w:uiPriority w:val="99"/>
    <w:semiHidden/>
    <w:unhideWhenUsed/>
    <w:rsid w:val="00675888"/>
    <w:pPr>
      <w:spacing w:before="100" w:beforeAutospacing="1" w:after="100" w:afterAutospacing="1" w:line="240" w:lineRule="auto"/>
    </w:pPr>
    <w:rPr>
      <w:rFonts w:ascii="Times New Roman" w:eastAsia="Times New Roman" w:hAnsi="Times New Roman" w:cs="Times New Roman"/>
      <w:noProof w:val="0"/>
      <w:kern w:val="0"/>
      <w:sz w:val="24"/>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88811">
      <w:bodyDiv w:val="1"/>
      <w:marLeft w:val="0"/>
      <w:marRight w:val="0"/>
      <w:marTop w:val="0"/>
      <w:marBottom w:val="0"/>
      <w:divBdr>
        <w:top w:val="none" w:sz="0" w:space="0" w:color="auto"/>
        <w:left w:val="none" w:sz="0" w:space="0" w:color="auto"/>
        <w:bottom w:val="none" w:sz="0" w:space="0" w:color="auto"/>
        <w:right w:val="none" w:sz="0" w:space="0" w:color="auto"/>
      </w:divBdr>
    </w:div>
    <w:div w:id="659506199">
      <w:bodyDiv w:val="1"/>
      <w:marLeft w:val="0"/>
      <w:marRight w:val="0"/>
      <w:marTop w:val="0"/>
      <w:marBottom w:val="0"/>
      <w:divBdr>
        <w:top w:val="none" w:sz="0" w:space="0" w:color="auto"/>
        <w:left w:val="none" w:sz="0" w:space="0" w:color="auto"/>
        <w:bottom w:val="none" w:sz="0" w:space="0" w:color="auto"/>
        <w:right w:val="none" w:sz="0" w:space="0" w:color="auto"/>
      </w:divBdr>
    </w:div>
    <w:div w:id="1179538523">
      <w:bodyDiv w:val="1"/>
      <w:marLeft w:val="0"/>
      <w:marRight w:val="0"/>
      <w:marTop w:val="0"/>
      <w:marBottom w:val="0"/>
      <w:divBdr>
        <w:top w:val="none" w:sz="0" w:space="0" w:color="auto"/>
        <w:left w:val="none" w:sz="0" w:space="0" w:color="auto"/>
        <w:bottom w:val="none" w:sz="0" w:space="0" w:color="auto"/>
        <w:right w:val="none" w:sz="0" w:space="0" w:color="auto"/>
      </w:divBdr>
    </w:div>
    <w:div w:id="16460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Klobučar</dc:creator>
  <cp:keywords/>
  <dc:description/>
  <cp:lastModifiedBy>Danijel Klobučar</cp:lastModifiedBy>
  <cp:revision>16</cp:revision>
  <dcterms:created xsi:type="dcterms:W3CDTF">2024-03-18T09:12:00Z</dcterms:created>
  <dcterms:modified xsi:type="dcterms:W3CDTF">2024-03-25T12:44:00Z</dcterms:modified>
</cp:coreProperties>
</file>