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roadmap"/>
    <w:p>
      <w:pPr>
        <w:pStyle w:val="Heading1"/>
      </w:pPr>
      <w:r>
        <w:t xml:space="preserve">Roadmap</w:t>
      </w:r>
    </w:p>
    <w:bookmarkStart w:id="26" w:name="item-operational-runbook-model-upgrade"/>
    <w:p>
      <w:pPr>
        <w:pStyle w:val="Heading2"/>
      </w:pPr>
      <w:r>
        <w:t xml:space="preserve">Item: Operational Runbook Model Upgrade</w:t>
      </w:r>
    </w:p>
    <w:p>
      <w:pPr>
        <w:pStyle w:val="Compact"/>
        <w:numPr>
          <w:ilvl w:val="0"/>
          <w:numId w:val="1001"/>
        </w:numPr>
      </w:pPr>
      <w:r>
        <w:t xml:space="preserve">Status: In Progress</w:t>
      </w:r>
    </w:p>
    <w:p>
      <w:pPr>
        <w:pStyle w:val="Compact"/>
        <w:numPr>
          <w:ilvl w:val="0"/>
          <w:numId w:val="1001"/>
        </w:numPr>
      </w:pPr>
      <w:r>
        <w:t xml:space="preserve">Priority: High</w:t>
      </w:r>
    </w:p>
    <w:p>
      <w:pPr>
        <w:pStyle w:val="Compact"/>
        <w:numPr>
          <w:ilvl w:val="0"/>
          <w:numId w:val="1001"/>
        </w:numPr>
      </w:pPr>
      <w:r>
        <w:t xml:space="preserve">Type: Documentation architecture and operations reliability</w:t>
      </w:r>
    </w:p>
    <w:p>
      <w:pPr>
        <w:pStyle w:val="Compact"/>
        <w:numPr>
          <w:ilvl w:val="0"/>
          <w:numId w:val="1001"/>
        </w:numPr>
      </w:pPr>
      <w:r>
        <w:t xml:space="preserve">Scope:</w:t>
      </w:r>
      <w:r>
        <w:t xml:space="preserve"> </w:t>
      </w:r>
      <w:r>
        <w:rPr>
          <w:rStyle w:val="VerbatimChar"/>
        </w:rPr>
        <w:t xml:space="preserve">WP-Operations-Runbook.md</w:t>
      </w:r>
      <w:r>
        <w:t xml:space="preserve"> </w:t>
      </w:r>
      <w:r>
        <w:t xml:space="preserve">only (keep Benchmark/Hardening/Style separation intact)</w:t>
      </w:r>
    </w:p>
    <w:p>
      <w:pPr>
        <w:pStyle w:val="Compact"/>
        <w:numPr>
          <w:ilvl w:val="0"/>
          <w:numId w:val="1001"/>
        </w:numPr>
      </w:pPr>
      <w:r>
        <w:t xml:space="preserve">Target window: Q2 2026</w:t>
      </w:r>
    </w:p>
    <w:bookmarkStart w:id="20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The runbook is comprehensive, but operational procedures are not yet standardized into a machine-friendly and alert-friendly format. This increases copy/paste risk, slows incident execution, and makes ongoing validation harder.</w:t>
      </w:r>
    </w:p>
    <w:bookmarkEnd w:id="20"/>
    <w:bookmarkStart w:id="21" w:name="goals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02"/>
        </w:numPr>
      </w:pPr>
      <w:r>
        <w:t xml:space="preserve">Standardize procedure structure for execution under pressure.</w:t>
      </w:r>
    </w:p>
    <w:p>
      <w:pPr>
        <w:pStyle w:val="Compact"/>
        <w:numPr>
          <w:ilvl w:val="0"/>
          <w:numId w:val="1002"/>
        </w:numPr>
      </w:pPr>
      <w:r>
        <w:t xml:space="preserve">Convert key incident content to alert playbook format.</w:t>
      </w:r>
    </w:p>
    <w:p>
      <w:pPr>
        <w:pStyle w:val="Compact"/>
        <w:numPr>
          <w:ilvl w:val="0"/>
          <w:numId w:val="1002"/>
        </w:numPr>
      </w:pPr>
      <w:r>
        <w:t xml:space="preserve">Add ownership and freshness metadata for continuous reliability.</w:t>
      </w:r>
    </w:p>
    <w:p>
      <w:pPr>
        <w:pStyle w:val="Compact"/>
        <w:numPr>
          <w:ilvl w:val="0"/>
          <w:numId w:val="1002"/>
        </w:numPr>
      </w:pPr>
      <w:r>
        <w:t xml:space="preserve">Preserve strict operational focus (no architecture/audit drift).</w:t>
      </w:r>
    </w:p>
    <w:bookmarkEnd w:id="21"/>
    <w:bookmarkStart w:id="22" w:name="non-goals"/>
    <w:p>
      <w:pPr>
        <w:pStyle w:val="Heading3"/>
      </w:pPr>
      <w:r>
        <w:t xml:space="preserve">Non-Goals</w:t>
      </w:r>
    </w:p>
    <w:p>
      <w:pPr>
        <w:pStyle w:val="Compact"/>
        <w:numPr>
          <w:ilvl w:val="0"/>
          <w:numId w:val="1003"/>
        </w:numPr>
      </w:pPr>
      <w:r>
        <w:t xml:space="preserve">Rewriting companion documents (Benchmark, Hardening Guide, Style Guide).</w:t>
      </w:r>
    </w:p>
    <w:p>
      <w:pPr>
        <w:pStyle w:val="Compact"/>
        <w:numPr>
          <w:ilvl w:val="0"/>
          <w:numId w:val="1003"/>
        </w:numPr>
      </w:pPr>
      <w:r>
        <w:t xml:space="preserve">Large content expansion outside operations use cases.</w:t>
      </w:r>
    </w:p>
    <w:p>
      <w:pPr>
        <w:pStyle w:val="Compact"/>
        <w:numPr>
          <w:ilvl w:val="0"/>
          <w:numId w:val="1003"/>
        </w:numPr>
      </w:pPr>
      <w:r>
        <w:t xml:space="preserve">Introducing provider-specific tooling dependencies.</w:t>
      </w:r>
    </w:p>
    <w:bookmarkEnd w:id="22"/>
    <w:bookmarkStart w:id="23" w:name="success-criteria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04"/>
        </w:numPr>
      </w:pPr>
      <w:r>
        <w:t xml:space="preserve">Every high-frequency operational procedure includes: prerequisites, exact commands, expected output, rollback, verification.</w:t>
      </w:r>
    </w:p>
    <w:p>
      <w:pPr>
        <w:pStyle w:val="Compact"/>
        <w:numPr>
          <w:ilvl w:val="0"/>
          <w:numId w:val="1004"/>
        </w:numPr>
      </w:pPr>
      <w:r>
        <w:t xml:space="preserve">Incident section includes alert-playbook blocks (</w:t>
      </w:r>
      <w:r>
        <w:rPr>
          <w:rStyle w:val="VerbatimChar"/>
        </w:rPr>
        <w:t xml:space="preserve">meaning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diagnosis</w:t>
      </w:r>
      <w:r>
        <w:t xml:space="preserve">,</w:t>
      </w:r>
      <w:r>
        <w:t xml:space="preserve"> </w:t>
      </w:r>
      <w:r>
        <w:rPr>
          <w:rStyle w:val="VerbatimChar"/>
        </w:rPr>
        <w:t xml:space="preserve">mitigation</w:t>
      </w:r>
      <w:r>
        <w:t xml:space="preserve">) for top scenarios.</w:t>
      </w:r>
    </w:p>
    <w:p>
      <w:pPr>
        <w:pStyle w:val="Compact"/>
        <w:numPr>
          <w:ilvl w:val="0"/>
          <w:numId w:val="1004"/>
        </w:numPr>
      </w:pPr>
      <w:r>
        <w:t xml:space="preserve">Runbook procedures include owner + last-tested metadata.</w:t>
      </w:r>
    </w:p>
    <w:p>
      <w:pPr>
        <w:pStyle w:val="Compact"/>
        <w:numPr>
          <w:ilvl w:val="0"/>
          <w:numId w:val="1004"/>
        </w:numPr>
      </w:pPr>
      <w:r>
        <w:t xml:space="preserve">Zero invalid or ambiguous command examples in core maintenance/incident paths.</w:t>
      </w:r>
    </w:p>
    <w:bookmarkEnd w:id="23"/>
    <w:bookmarkStart w:id="24" w:name="milestones"/>
    <w:p>
      <w:pPr>
        <w:pStyle w:val="Heading3"/>
      </w:pPr>
      <w:r>
        <w:t xml:space="preserve">Milestones</w:t>
      </w:r>
    </w:p>
    <w:p>
      <w:pPr>
        <w:pStyle w:val="Compact"/>
        <w:numPr>
          <w:ilvl w:val="0"/>
          <w:numId w:val="1005"/>
        </w:numPr>
      </w:pPr>
      <w:r>
        <w:t xml:space="preserve">Phase 1: Procedure Template Standardization.</w:t>
      </w:r>
    </w:p>
    <w:p>
      <w:pPr>
        <w:pStyle w:val="Compact"/>
        <w:numPr>
          <w:ilvl w:val="0"/>
          <w:numId w:val="1005"/>
        </w:numPr>
      </w:pPr>
      <w:r>
        <w:t xml:space="preserve">Phase 2: Alert Playbook Conversion for Incident Workflows.</w:t>
      </w:r>
    </w:p>
    <w:p>
      <w:pPr>
        <w:pStyle w:val="Compact"/>
        <w:numPr>
          <w:ilvl w:val="0"/>
          <w:numId w:val="1005"/>
        </w:numPr>
      </w:pPr>
      <w:r>
        <w:t xml:space="preserve">Phase 3: Incident Role Cards + Validation Cadence Metadata.</w:t>
      </w:r>
    </w:p>
    <w:bookmarkEnd w:id="24"/>
    <w:bookmarkStart w:id="25" w:name="risks-and-mitigations"/>
    <w:p>
      <w:pPr>
        <w:pStyle w:val="Heading3"/>
      </w:pPr>
      <w:r>
        <w:t xml:space="preserve">Risks and Mitigations</w:t>
      </w:r>
    </w:p>
    <w:p>
      <w:pPr>
        <w:pStyle w:val="Compact"/>
        <w:numPr>
          <w:ilvl w:val="0"/>
          <w:numId w:val="1006"/>
        </w:numPr>
      </w:pPr>
      <w:r>
        <w:t xml:space="preserve">Risk: Over-formatting reduces readability.</w:t>
      </w:r>
      <w:r>
        <w:t xml:space="preserve"> </w:t>
      </w:r>
      <w:r>
        <w:t xml:space="preserve">Mitigation: Use concise, repeatable blocks and preserve current section hierarchy.</w:t>
      </w:r>
    </w:p>
    <w:p>
      <w:pPr>
        <w:pStyle w:val="Compact"/>
        <w:numPr>
          <w:ilvl w:val="0"/>
          <w:numId w:val="1006"/>
        </w:numPr>
      </w:pPr>
      <w:r>
        <w:t xml:space="preserve">Risk: Scope creep into non-operational guidance.</w:t>
      </w:r>
      <w:r>
        <w:t xml:space="preserve"> </w:t>
      </w:r>
      <w:r>
        <w:t xml:space="preserve">Mitigation: Reject changes that duplicate benchmark/hardening rationale.</w:t>
      </w:r>
    </w:p>
    <w:p>
      <w:pPr>
        <w:pStyle w:val="Compact"/>
        <w:numPr>
          <w:ilvl w:val="0"/>
          <w:numId w:val="1006"/>
        </w:numPr>
      </w:pPr>
      <w:r>
        <w:t xml:space="preserve">Risk: Command drift over time.</w:t>
      </w:r>
      <w:r>
        <w:t xml:space="preserve"> </w:t>
      </w:r>
      <w:r>
        <w:t xml:space="preserve">Mitigation: Add explicit validation cadence and owner accountability.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2026-03-03T23:29:34Z</dcterms:created>
  <dcterms:modified xsi:type="dcterms:W3CDTF">2026-03-03T23:29:34Z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