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DRAFT</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40"/>
    <w:bookmarkStart w:id="21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4-and-66-options-api-improvements">
        <w:r>
          <w:rPr>
            <w:rStyle w:val="Hyperlink"/>
          </w:rPr>
          <w:t xml:space="preserve">WP 6.4+ and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9" w:name="source-strengths-and-how-to-use-them"/>
    <w:p>
      <w:pPr>
        <w:pStyle w:val="Heading2"/>
      </w:pPr>
      <w:r>
        <w:t xml:space="preserve">2. Source strengths and how to use them</w:t>
      </w:r>
    </w:p>
    <w:bookmarkStart w:id="4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46">
        <w:r>
          <w:rPr>
            <w:rStyle w:val="VerbatimChar"/>
          </w:rPr>
          <w:t xml:space="preserve">wordpress-performance-optimization-checklist.md</w:t>
        </w:r>
      </w:hyperlink>
      <w:r>
        <w:t xml:space="preserve"> </w:t>
      </w:r>
      <w:r>
        <w:t xml:space="preserve">and the enterprise</w:t>
      </w:r>
      <w:r>
        <w:t xml:space="preserve"> </w:t>
      </w:r>
      <w:hyperlink r:id="rId4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48"/>
    <w:bookmarkEnd w:id="49"/>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5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50"/>
    <w:bookmarkStart w:id="5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1"/>
    <w:bookmarkStart w:id="5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3"/>
    <w:bookmarkStart w:id="5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4"/>
    <w:bookmarkStart w:id="5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5"/>
    <w:bookmarkStart w:id="5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WordPress 7.0 raises the minimum supported PHP version to 7.4.0, while PHP 8.3 remains the minimum recommended version;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41" w:name="Xfee1277cede5db2699e5dba19aca26f384fef5f"/>
    <w:p>
      <w:pPr>
        <w:pStyle w:val="Heading3"/>
      </w:pPr>
      <w:r>
        <w:t xml:space="preserve">Performance Lab feature plugins (verified against the plugin directory on 2026-06-14)</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 — experimental</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4-and-6.6-options-api-improvements"/>
    <w:p>
      <w:pPr>
        <w:pStyle w:val="Heading3"/>
      </w:pPr>
      <w:r>
        <w:t xml:space="preserve">WP 6.4+ and 6.6+ Options API improvements</w:t>
      </w:r>
    </w:p>
    <w:p>
      <w:pPr>
        <w:pStyle w:val="FirstParagraph"/>
      </w:pPr>
      <w:r>
        <w:t xml:space="preserve">Already covered in §12: WordPress 6.4 introduced autoload helper APIs such as</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and</w:t>
      </w:r>
      <w:r>
        <w:t xml:space="preserve"> </w:t>
      </w:r>
      <w:r>
        <w:rPr>
          <w:rStyle w:val="VerbatimChar"/>
        </w:rPr>
        <w:t xml:space="preserve">wp_set_option_autoload_values()</w:t>
      </w:r>
      <w:r>
        <w:t xml:space="preserve">. WordPress 6.6 then expanded the stored autoload vocabulary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added</w:t>
      </w:r>
      <w:r>
        <w:t xml:space="preserve"> </w:t>
      </w:r>
      <w:r>
        <w:rPr>
          <w:rStyle w:val="VerbatimChar"/>
        </w:rPr>
        <w:t xml:space="preserve">wp_autoload_values_to_autoload()</w:t>
      </w:r>
      <w:r>
        <w:t xml:space="preserve">, introduced large-option autoload heuristics, and added the Site Health autoload warning.</w:t>
      </w:r>
    </w:p>
    <w:bookmarkEnd w:id="145"/>
    <w:bookmarkStart w:id="148" w:name="wordpress-6.9-performance-deltas"/>
    <w:p>
      <w:pPr>
        <w:pStyle w:val="Heading3"/>
      </w:pPr>
      <w:r>
        <w:t xml:space="preserve">WordPress 6.9 performance deltas</w:t>
      </w:r>
    </w:p>
    <w:p>
      <w:pPr>
        <w:pStyle w:val="FirstParagraph"/>
      </w:pPr>
      <w:r>
        <w:t xml:space="preserve">WordPress 6.9 shipped on December 2, 2025.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minimum recommended version.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Client-side Abilities, and Connectors:</w:t>
      </w:r>
      <w:r>
        <w:t xml:space="preserve"> </w:t>
      </w:r>
      <w:r>
        <w:t xml:space="preserve">WordPress 6.9 introduced the server-side Abilities API as an AI-building-block foundation. WordPress 7.0 adds the WP AI Client, client-side Abilities package, and a Connectors screen/API. These features are infrastructure and extensibility surfaces, not automatic frontend performance improvements. If a site enables AI-backed workflows, MCP adapter/connectors,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49"/>
    <w:bookmarkStart w:id="15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50"/>
    <w:bookmarkEnd w:id="151"/>
    <w:bookmarkStart w:id="15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52"/>
    <w:bookmarkStart w:id="15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3"/>
    <w:bookmarkStart w:id="156" w:name="high-traffic-events-and-load-testing"/>
    <w:p>
      <w:pPr>
        <w:pStyle w:val="Heading2"/>
      </w:pPr>
      <w:r>
        <w:t xml:space="preserve">25. High-traffic events and load testing</w:t>
      </w:r>
    </w:p>
    <w:p>
      <w:pPr>
        <w:pStyle w:val="FirstParagraph"/>
      </w:pPr>
      <w:r>
        <w:t xml:space="preserve">High-traffic events require pre-work.</w:t>
      </w:r>
    </w:p>
    <w:bookmarkStart w:id="15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54"/>
    <w:bookmarkStart w:id="15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55"/>
    <w:bookmarkEnd w:id="156"/>
    <w:bookmarkStart w:id="165" w:name="measurement-tools"/>
    <w:p>
      <w:pPr>
        <w:pStyle w:val="Heading2"/>
      </w:pPr>
      <w:r>
        <w:t xml:space="preserve">26. Measurement tools</w:t>
      </w:r>
    </w:p>
    <w:bookmarkStart w:id="15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57"/>
    <w:bookmarkStart w:id="160" w:name="fielduser-tools"/>
    <w:p>
      <w:pPr>
        <w:pStyle w:val="Heading3"/>
      </w:pPr>
      <w:r>
        <w:t xml:space="preserve">Field/user tools</w:t>
      </w:r>
    </w:p>
    <w:p>
      <w:pPr>
        <w:pStyle w:val="Compact"/>
        <w:numPr>
          <w:ilvl w:val="0"/>
          <w:numId w:val="1090"/>
        </w:numPr>
      </w:pPr>
      <w:hyperlink r:id="rId158">
        <w:r>
          <w:rPr>
            <w:rStyle w:val="Hyperlink"/>
          </w:rPr>
          <w:t xml:space="preserve">Chrome User Experience Report (CrUX)</w:t>
        </w:r>
      </w:hyperlink>
      <w:r>
        <w:t xml:space="preserve">;</w:t>
      </w:r>
    </w:p>
    <w:p>
      <w:pPr>
        <w:pStyle w:val="Compact"/>
        <w:numPr>
          <w:ilvl w:val="0"/>
          <w:numId w:val="1090"/>
        </w:numPr>
      </w:pPr>
      <w:hyperlink r:id="rId15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60"/>
    <w:bookmarkStart w:id="16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61"/>
    <w:bookmarkStart w:id="16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2"/>
    <w:bookmarkStart w:id="16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3"/>
    <w:bookmarkStart w:id="16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4"/>
    <w:bookmarkEnd w:id="165"/>
    <w:bookmarkStart w:id="17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66"/>
    <w:bookmarkStart w:id="16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67"/>
    <w:bookmarkStart w:id="16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68"/>
    <w:bookmarkStart w:id="16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69"/>
    <w:bookmarkStart w:id="17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70"/>
    <w:bookmarkStart w:id="17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71"/>
    <w:bookmarkStart w:id="17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72"/>
    <w:bookmarkEnd w:id="173"/>
    <w:bookmarkStart w:id="17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7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4"/>
    <w:bookmarkEnd w:id="175"/>
    <w:bookmarkStart w:id="17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7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6"/>
    <w:bookmarkEnd w:id="177"/>
    <w:bookmarkStart w:id="214"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4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4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4"/>
        </w:numPr>
      </w:pPr>
      <w:hyperlink r:id="rId181">
        <w:r>
          <w:rPr>
            <w:rStyle w:val="Hyperlink"/>
          </w:rPr>
          <w:t xml:space="preserve">Transients API</w:t>
        </w:r>
      </w:hyperlink>
    </w:p>
    <w:p>
      <w:pPr>
        <w:pStyle w:val="Compact"/>
        <w:numPr>
          <w:ilvl w:val="0"/>
          <w:numId w:val="1104"/>
        </w:numPr>
      </w:pPr>
      <w:hyperlink r:id="rId182">
        <w:r>
          <w:rPr>
            <w:rStyle w:val="VerbatimChar"/>
          </w:rPr>
          <w:t xml:space="preserve">get_transient()</w:t>
        </w:r>
      </w:hyperlink>
    </w:p>
    <w:p>
      <w:pPr>
        <w:pStyle w:val="Compact"/>
        <w:numPr>
          <w:ilvl w:val="0"/>
          <w:numId w:val="1104"/>
        </w:numPr>
      </w:pPr>
      <w:hyperlink r:id="rId183">
        <w:r>
          <w:rPr>
            <w:rStyle w:val="VerbatimChar"/>
          </w:rPr>
          <w:t xml:space="preserve">set_transient()</w:t>
        </w:r>
      </w:hyperlink>
    </w:p>
    <w:p>
      <w:pPr>
        <w:pStyle w:val="Compact"/>
        <w:numPr>
          <w:ilvl w:val="0"/>
          <w:numId w:val="1104"/>
        </w:numPr>
      </w:pPr>
      <w:hyperlink r:id="rId184">
        <w:r>
          <w:rPr>
            <w:rStyle w:val="VerbatimChar"/>
          </w:rPr>
          <w:t xml:space="preserve">WP_Object_Cache</w:t>
        </w:r>
      </w:hyperlink>
    </w:p>
    <w:p>
      <w:pPr>
        <w:pStyle w:val="Compact"/>
        <w:numPr>
          <w:ilvl w:val="0"/>
          <w:numId w:val="1104"/>
        </w:numPr>
      </w:pPr>
      <w:hyperlink r:id="rId185">
        <w:r>
          <w:rPr>
            <w:rStyle w:val="VerbatimChar"/>
          </w:rPr>
          <w:t xml:space="preserve">wp_start_object_cache()</w:t>
        </w:r>
      </w:hyperlink>
    </w:p>
    <w:p>
      <w:pPr>
        <w:pStyle w:val="Compact"/>
        <w:numPr>
          <w:ilvl w:val="0"/>
          <w:numId w:val="1104"/>
        </w:numPr>
      </w:pPr>
      <w:hyperlink r:id="rId186">
        <w:r>
          <w:rPr>
            <w:rStyle w:val="VerbatimChar"/>
          </w:rPr>
          <w:t xml:space="preserve">wp_set_option_autoload()</w:t>
        </w:r>
      </w:hyperlink>
    </w:p>
    <w:p>
      <w:pPr>
        <w:pStyle w:val="Compact"/>
        <w:numPr>
          <w:ilvl w:val="0"/>
          <w:numId w:val="1104"/>
        </w:numPr>
      </w:pPr>
      <w:hyperlink r:id="rId187">
        <w:r>
          <w:rPr>
            <w:rStyle w:val="VerbatimChar"/>
          </w:rPr>
          <w:t xml:space="preserve">wp_set_options_autoload()</w:t>
        </w:r>
      </w:hyperlink>
    </w:p>
    <w:p>
      <w:pPr>
        <w:pStyle w:val="Compact"/>
        <w:numPr>
          <w:ilvl w:val="0"/>
          <w:numId w:val="1104"/>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89">
        <w:r>
          <w:rPr>
            <w:rStyle w:val="Hyperlink"/>
          </w:rPr>
          <w:t xml:space="preserve">WP_Query class reference</w:t>
        </w:r>
      </w:hyperlink>
    </w:p>
    <w:p>
      <w:pPr>
        <w:pStyle w:val="Compact"/>
        <w:numPr>
          <w:ilvl w:val="0"/>
          <w:numId w:val="1104"/>
        </w:numPr>
      </w:pPr>
      <w:hyperlink r:id="rId190">
        <w:r>
          <w:rPr>
            <w:rStyle w:val="Hyperlink"/>
          </w:rPr>
          <w:t xml:space="preserve">Advanced Administration Handbook — Cache</w:t>
        </w:r>
      </w:hyperlink>
    </w:p>
    <w:p>
      <w:pPr>
        <w:pStyle w:val="Compact"/>
        <w:numPr>
          <w:ilvl w:val="0"/>
          <w:numId w:val="1104"/>
        </w:numPr>
      </w:pPr>
      <w:hyperlink r:id="rId191">
        <w:r>
          <w:rPr>
            <w:rStyle w:val="Hyperlink"/>
          </w:rPr>
          <w:t xml:space="preserve">Advanced Administration Handbook — Performance</w:t>
        </w:r>
      </w:hyperlink>
    </w:p>
    <w:p>
      <w:pPr>
        <w:pStyle w:val="Compact"/>
        <w:numPr>
          <w:ilvl w:val="0"/>
          <w:numId w:val="1104"/>
        </w:numPr>
      </w:pPr>
      <w:hyperlink r:id="rId192">
        <w:r>
          <w:rPr>
            <w:rStyle w:val="Hyperlink"/>
          </w:rPr>
          <w:t xml:space="preserve">Plugin Handbook — Hooking WP-Cron into the system task scheduler</w:t>
        </w:r>
      </w:hyperlink>
    </w:p>
    <w:bookmarkEnd w:id="193"/>
    <w:bookmarkStart w:id="202" w:name="wordpress-core-blog-posts"/>
    <w:p>
      <w:pPr>
        <w:pStyle w:val="Heading3"/>
      </w:pPr>
      <w:r>
        <w:t xml:space="preserve">WordPress Core blog posts</w:t>
      </w:r>
    </w:p>
    <w:p>
      <w:pPr>
        <w:pStyle w:val="Compact"/>
        <w:numPr>
          <w:ilvl w:val="0"/>
          <w:numId w:val="1105"/>
        </w:numPr>
      </w:pPr>
      <w:hyperlink r:id="rId194">
        <w:r>
          <w:rPr>
            <w:rStyle w:val="Hyperlink"/>
          </w:rPr>
          <w:t xml:space="preserve">Options API: Disabling autoload for large options (June 2024)</w:t>
        </w:r>
      </w:hyperlink>
    </w:p>
    <w:p>
      <w:pPr>
        <w:pStyle w:val="Compact"/>
        <w:numPr>
          <w:ilvl w:val="0"/>
          <w:numId w:val="1105"/>
        </w:numPr>
      </w:pPr>
      <w:hyperlink r:id="rId195">
        <w:r>
          <w:rPr>
            <w:rStyle w:val="Hyperlink"/>
          </w:rPr>
          <w:t xml:space="preserve">New option functions in 6.4 (October 2023)</w:t>
        </w:r>
      </w:hyperlink>
    </w:p>
    <w:p>
      <w:pPr>
        <w:pStyle w:val="Compact"/>
        <w:numPr>
          <w:ilvl w:val="0"/>
          <w:numId w:val="1105"/>
        </w:numPr>
      </w:pPr>
      <w:hyperlink r:id="rId196">
        <w:r>
          <w:rPr>
            <w:rStyle w:val="Hyperlink"/>
          </w:rPr>
          <w:t xml:space="preserve">WordPress 6.6 Performance Improvements</w:t>
        </w:r>
      </w:hyperlink>
    </w:p>
    <w:p>
      <w:pPr>
        <w:pStyle w:val="Compact"/>
        <w:numPr>
          <w:ilvl w:val="0"/>
          <w:numId w:val="1105"/>
        </w:numPr>
      </w:pPr>
      <w:hyperlink r:id="rId142">
        <w:r>
          <w:rPr>
            <w:rStyle w:val="Hyperlink"/>
          </w:rPr>
          <w:t xml:space="preserve">Speculative Loading in 6.8 (March 2025)</w:t>
        </w:r>
      </w:hyperlink>
    </w:p>
    <w:p>
      <w:pPr>
        <w:pStyle w:val="Compact"/>
        <w:numPr>
          <w:ilvl w:val="0"/>
          <w:numId w:val="1105"/>
        </w:numPr>
      </w:pPr>
      <w:hyperlink r:id="rId197">
        <w:r>
          <w:rPr>
            <w:rStyle w:val="Hyperlink"/>
          </w:rPr>
          <w:t xml:space="preserve">WordPress 6.8 Performance Improvements (April 2025)</w:t>
        </w:r>
      </w:hyperlink>
    </w:p>
    <w:p>
      <w:pPr>
        <w:pStyle w:val="Compact"/>
        <w:numPr>
          <w:ilvl w:val="0"/>
          <w:numId w:val="1105"/>
        </w:numPr>
      </w:pPr>
      <w:hyperlink r:id="rId146">
        <w:r>
          <w:rPr>
            <w:rStyle w:val="Hyperlink"/>
          </w:rPr>
          <w:t xml:space="preserve">WordPress 6.9 Frontend Performance Field Guide</w:t>
        </w:r>
      </w:hyperlink>
    </w:p>
    <w:p>
      <w:pPr>
        <w:pStyle w:val="Compact"/>
        <w:numPr>
          <w:ilvl w:val="0"/>
          <w:numId w:val="1105"/>
        </w:numPr>
      </w:pPr>
      <w:hyperlink r:id="rId147">
        <w:r>
          <w:rPr>
            <w:rStyle w:val="Hyperlink"/>
          </w:rPr>
          <w:t xml:space="preserve">WordPress 6.9 Field Guide</w:t>
        </w:r>
      </w:hyperlink>
    </w:p>
    <w:p>
      <w:pPr>
        <w:pStyle w:val="Compact"/>
        <w:numPr>
          <w:ilvl w:val="0"/>
          <w:numId w:val="1105"/>
        </w:numPr>
      </w:pPr>
      <w:hyperlink r:id="rId198">
        <w:r>
          <w:rPr>
            <w:rStyle w:val="Hyperlink"/>
          </w:rPr>
          <w:t xml:space="preserve">WordPress 7.0 Field Guide</w:t>
        </w:r>
      </w:hyperlink>
    </w:p>
    <w:p>
      <w:pPr>
        <w:pStyle w:val="Compact"/>
        <w:numPr>
          <w:ilvl w:val="0"/>
          <w:numId w:val="1105"/>
        </w:numPr>
      </w:pPr>
      <w:hyperlink r:id="rId199">
        <w:r>
          <w:rPr>
            <w:rStyle w:val="Hyperlink"/>
          </w:rPr>
          <w:t xml:space="preserve">Dropping support for PHP 7.2 and 7.3</w:t>
        </w:r>
      </w:hyperlink>
    </w:p>
    <w:p>
      <w:pPr>
        <w:pStyle w:val="Compact"/>
        <w:numPr>
          <w:ilvl w:val="0"/>
          <w:numId w:val="1105"/>
        </w:numPr>
      </w:pPr>
      <w:hyperlink r:id="rId200">
        <w:r>
          <w:rPr>
            <w:rStyle w:val="Hyperlink"/>
          </w:rPr>
          <w:t xml:space="preserve">Real-time collaboration will not ship in WordPress 7.0</w:t>
        </w:r>
      </w:hyperlink>
    </w:p>
    <w:p>
      <w:pPr>
        <w:pStyle w:val="Compact"/>
        <w:numPr>
          <w:ilvl w:val="0"/>
          <w:numId w:val="1105"/>
        </w:numPr>
      </w:pPr>
      <w:hyperlink r:id="rId201">
        <w:r>
          <w:rPr>
            <w:rStyle w:val="Hyperlink"/>
          </w:rPr>
          <w:t xml:space="preserve">WordPress release archive</w:t>
        </w:r>
      </w:hyperlink>
    </w:p>
    <w:bookmarkEnd w:id="202"/>
    <w:bookmarkStart w:id="204" w:name="performance-lab-and-standalone-plugins"/>
    <w:p>
      <w:pPr>
        <w:pStyle w:val="Heading3"/>
      </w:pPr>
      <w:r>
        <w:t xml:space="preserve">Performance Lab and standalone plugins</w:t>
      </w:r>
    </w:p>
    <w:p>
      <w:pPr>
        <w:pStyle w:val="Compact"/>
        <w:numPr>
          <w:ilvl w:val="0"/>
          <w:numId w:val="1106"/>
        </w:numPr>
      </w:pPr>
      <w:hyperlink r:id="rId140">
        <w:r>
          <w:rPr>
            <w:rStyle w:val="Hyperlink"/>
          </w:rPr>
          <w:t xml:space="preserve">Performance Lab</w:t>
        </w:r>
      </w:hyperlink>
    </w:p>
    <w:p>
      <w:pPr>
        <w:pStyle w:val="Compact"/>
        <w:numPr>
          <w:ilvl w:val="0"/>
          <w:numId w:val="1106"/>
        </w:numPr>
      </w:pPr>
      <w:hyperlink r:id="rId143">
        <w:r>
          <w:rPr>
            <w:rStyle w:val="Hyperlink"/>
          </w:rPr>
          <w:t xml:space="preserve">Speculative Loading</w:t>
        </w:r>
      </w:hyperlink>
    </w:p>
    <w:p>
      <w:pPr>
        <w:pStyle w:val="Compact"/>
        <w:numPr>
          <w:ilvl w:val="0"/>
          <w:numId w:val="1106"/>
        </w:numPr>
      </w:pPr>
      <w:hyperlink r:id="rId203">
        <w:r>
          <w:rPr>
            <w:rStyle w:val="Hyperlink"/>
          </w:rPr>
          <w:t xml:space="preserve">Image Placeholders / Dominant Color Images</w:t>
        </w:r>
      </w:hyperlink>
    </w:p>
    <w:bookmarkEnd w:id="204"/>
    <w:bookmarkStart w:id="211" w:name="web-platform-core-web-vitals"/>
    <w:p>
      <w:pPr>
        <w:pStyle w:val="Heading3"/>
      </w:pPr>
      <w:r>
        <w:t xml:space="preserve">Web platform / Core Web Vitals</w:t>
      </w:r>
    </w:p>
    <w:p>
      <w:pPr>
        <w:pStyle w:val="Compact"/>
        <w:numPr>
          <w:ilvl w:val="0"/>
          <w:numId w:val="1107"/>
        </w:numPr>
      </w:pPr>
      <w:hyperlink r:id="rId205">
        <w:r>
          <w:rPr>
            <w:rStyle w:val="Hyperlink"/>
          </w:rPr>
          <w:t xml:space="preserve">web.dev — Learn Core Web Vitals</w:t>
        </w:r>
      </w:hyperlink>
    </w:p>
    <w:p>
      <w:pPr>
        <w:pStyle w:val="Compact"/>
        <w:numPr>
          <w:ilvl w:val="0"/>
          <w:numId w:val="1107"/>
        </w:numPr>
      </w:pPr>
      <w:hyperlink r:id="rId206">
        <w:r>
          <w:rPr>
            <w:rStyle w:val="Hyperlink"/>
          </w:rPr>
          <w:t xml:space="preserve">web.dev — Web Vitals overview</w:t>
        </w:r>
      </w:hyperlink>
    </w:p>
    <w:p>
      <w:pPr>
        <w:pStyle w:val="Compact"/>
        <w:numPr>
          <w:ilvl w:val="0"/>
          <w:numId w:val="1107"/>
        </w:numPr>
      </w:pPr>
      <w:hyperlink r:id="rId207">
        <w:r>
          <w:rPr>
            <w:rStyle w:val="Hyperlink"/>
          </w:rPr>
          <w:t xml:space="preserve">web.dev — Interaction to Next Paint</w:t>
        </w:r>
      </w:hyperlink>
    </w:p>
    <w:p>
      <w:pPr>
        <w:pStyle w:val="Compact"/>
        <w:numPr>
          <w:ilvl w:val="0"/>
          <w:numId w:val="1107"/>
        </w:numPr>
      </w:pPr>
      <w:hyperlink r:id="rId208">
        <w:r>
          <w:rPr>
            <w:rStyle w:val="Hyperlink"/>
          </w:rPr>
          <w:t xml:space="preserve">web.dev — Defining Core Web Vitals thresholds</w:t>
        </w:r>
      </w:hyperlink>
    </w:p>
    <w:p>
      <w:pPr>
        <w:pStyle w:val="Compact"/>
        <w:numPr>
          <w:ilvl w:val="0"/>
          <w:numId w:val="1107"/>
        </w:numPr>
      </w:pPr>
      <w:hyperlink r:id="rId15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209">
        <w:r>
          <w:rPr>
            <w:rStyle w:val="Hyperlink"/>
          </w:rPr>
          <w:t xml:space="preserve">MDN — Critical rendering path</w:t>
        </w:r>
      </w:hyperlink>
    </w:p>
    <w:p>
      <w:pPr>
        <w:pStyle w:val="Compact"/>
        <w:numPr>
          <w:ilvl w:val="0"/>
          <w:numId w:val="1107"/>
        </w:numPr>
      </w:pPr>
      <w:hyperlink r:id="rId210">
        <w:r>
          <w:rPr>
            <w:rStyle w:val="Hyperlink"/>
          </w:rPr>
          <w:t xml:space="preserve">MDN —</w:t>
        </w:r>
        <w:r>
          <w:rPr>
            <w:rStyle w:val="Hyperlink"/>
          </w:rPr>
          <w:t xml:space="preserve"> </w:t>
        </w:r>
        <w:r>
          <w:rPr>
            <w:rStyle w:val="VerbatimChar"/>
          </w:rPr>
          <w:t xml:space="preserve">font-display</w:t>
        </w:r>
      </w:hyperlink>
    </w:p>
    <w:bookmarkEnd w:id="211"/>
    <w:bookmarkStart w:id="213" w:name="advanced-admin-handbook-pr"/>
    <w:p>
      <w:pPr>
        <w:pStyle w:val="Heading3"/>
      </w:pPr>
      <w:r>
        <w:t xml:space="preserve">Advanced Admin Handbook PR</w:t>
      </w:r>
    </w:p>
    <w:p>
      <w:pPr>
        <w:pStyle w:val="Compact"/>
        <w:numPr>
          <w:ilvl w:val="0"/>
          <w:numId w:val="1108"/>
        </w:numPr>
      </w:pPr>
      <w:hyperlink r:id="rId212">
        <w:r>
          <w:rPr>
            <w:rStyle w:val="Hyperlink"/>
          </w:rPr>
          <w:t xml:space="preserve">WordPress/Advanced-administration-handbook PR #485</w:t>
        </w:r>
      </w:hyperlink>
    </w:p>
    <w:bookmarkEnd w:id="213"/>
    <w:bookmarkEnd w:id="214"/>
    <w:bookmarkEnd w:id="215"/>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2026-06-14T20:49:21Z</dcterms:created>
  <dcterms:modified xsi:type="dcterms:W3CDTF">2026-06-14T20:49:21Z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1.2 — DRAFT</vt:lpwstr>
  </property>
  <property fmtid="{D5CDD505-2E9C-101B-9397-08002B2CF9AE}" pid="4" name="version">
    <vt:lpwstr>1.2</vt:lpwstr>
  </property>
</Properties>
</file>