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DRAFT</w:t>
      </w:r>
    </w:p>
    <w:p>
      <w:pPr>
        <w:pStyle w:val="Author"/>
      </w:pPr>
      <w:r>
        <w:t xml:space="preserve">Dan Knauss, General Editor</w:t>
      </w:r>
    </w:p>
    <w:bookmarkStart w:id="4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40"/>
    <w:bookmarkStart w:id="21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6-options-api-improvements">
        <w:r>
          <w:rPr>
            <w:rStyle w:val="Hyperlink"/>
          </w:rPr>
          <w:t xml:space="preserve">WP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4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41"/>
    <w:bookmarkStart w:id="49" w:name="source-strengths-and-how-to-use-them"/>
    <w:p>
      <w:pPr>
        <w:pStyle w:val="Heading2"/>
      </w:pPr>
      <w:r>
        <w:t xml:space="preserve">2. Source strengths and how to use them</w:t>
      </w:r>
    </w:p>
    <w:bookmarkStart w:id="4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42"/>
    <w:bookmarkStart w:id="4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43"/>
    <w:bookmarkStart w:id="4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44"/>
    <w:bookmarkStart w:id="4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 “turn caching on” 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45"/>
    <w:bookmarkStart w:id="4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46">
        <w:r>
          <w:rPr>
            <w:rStyle w:val="VerbatimChar"/>
          </w:rPr>
          <w:t xml:space="preserve">wordpress-performance-optimization-checklist.md</w:t>
        </w:r>
      </w:hyperlink>
      <w:r>
        <w:t xml:space="preserve"> </w:t>
      </w:r>
      <w:r>
        <w:t xml:space="preserve">and the enterprise</w:t>
      </w:r>
      <w:r>
        <w:t xml:space="preserve"> </w:t>
      </w:r>
      <w:hyperlink r:id="rId4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48"/>
    <w:bookmarkEnd w:id="49"/>
    <w:bookmarkStart w:id="57" w:name="optimization-workflow"/>
    <w:p>
      <w:pPr>
        <w:pStyle w:val="Heading2"/>
      </w:pPr>
      <w:r>
        <w:t xml:space="preserve">3. Optimization workflow</w:t>
      </w:r>
    </w:p>
    <w:p>
      <w:pPr>
        <w:pStyle w:val="FirstParagraph"/>
      </w:pPr>
      <w:r>
        <w:t xml:space="preserve">Use this sequence for almost every performance investigation.</w:t>
      </w:r>
    </w:p>
    <w:bookmarkStart w:id="5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50"/>
    <w:bookmarkStart w:id="5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51"/>
    <w:bookmarkStart w:id="5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53"/>
    <w:bookmarkStart w:id="5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54"/>
    <w:bookmarkStart w:id="5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55"/>
    <w:bookmarkStart w:id="5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56"/>
    <w:bookmarkEnd w:id="57"/>
    <w:bookmarkStart w:id="5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 “failure” is not the database fallback itself — the fallback is by design. The failure is writing transient-heavy code without checking whether a persistent object cache is present, so the database silently absorbs work it should not have to do.</w:t>
      </w:r>
    </w:p>
    <w:bookmarkStart w:id="5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58"/>
    <w:bookmarkEnd w:id="59"/>
    <w:bookmarkStart w:id="6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6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60"/>
    <w:bookmarkStart w:id="6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61"/>
    <w:bookmarkStart w:id="6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62"/>
    <w:bookmarkStart w:id="6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63"/>
    <w:bookmarkStart w:id="6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64"/>
    <w:bookmarkEnd w:id="65"/>
    <w:bookmarkStart w:id="6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6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66"/>
    <w:bookmarkStart w:id="6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67"/>
    <w:bookmarkEnd w:id="68"/>
    <w:bookmarkStart w:id="7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6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69"/>
    <w:bookmarkStart w:id="7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70"/>
    <w:bookmarkStart w:id="7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71"/>
    <w:bookmarkStart w:id="7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72"/>
    <w:bookmarkStart w:id="7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73"/>
    <w:bookmarkEnd w:id="74"/>
    <w:bookmarkStart w:id="8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7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75"/>
    <w:bookmarkStart w:id="7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76"/>
    <w:bookmarkStart w:id="7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77"/>
    <w:bookmarkStart w:id="7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78"/>
    <w:bookmarkStart w:id="7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79"/>
    <w:bookmarkEnd w:id="80"/>
    <w:bookmarkStart w:id="8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8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81"/>
    <w:bookmarkStart w:id="8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82"/>
    <w:bookmarkStart w:id="83" w:name="php-version"/>
    <w:p>
      <w:pPr>
        <w:pStyle w:val="Heading3"/>
      </w:pPr>
      <w:r>
        <w:t xml:space="preserve">PHP version</w:t>
      </w:r>
    </w:p>
    <w:p>
      <w:pPr>
        <w:pStyle w:val="FirstParagraph"/>
      </w:pPr>
      <w:r>
        <w:t xml:space="preserve">Use a supported PHP version. WordPress 7.0 raises the minimum supported PHP version to 7.4.0, while PHP 8.3 remains the minimum recommended version;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83"/>
    <w:bookmarkEnd w:id="84"/>
    <w:bookmarkStart w:id="8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8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85"/>
    <w:bookmarkStart w:id="8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86"/>
    <w:bookmarkStart w:id="8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87"/>
    <w:bookmarkEnd w:id="88"/>
    <w:bookmarkStart w:id="95" w:name="database-performance"/>
    <w:p>
      <w:pPr>
        <w:pStyle w:val="Heading2"/>
      </w:pPr>
      <w:r>
        <w:t xml:space="preserve">11. Database performance</w:t>
      </w:r>
    </w:p>
    <w:p>
      <w:pPr>
        <w:pStyle w:val="FirstParagraph"/>
      </w:pPr>
      <w:r>
        <w:t xml:space="preserve">Database optimization is not “cleaning the database.” It is reducing expensive reads/writes and making unavoidable queries efficient.</w:t>
      </w:r>
    </w:p>
    <w:bookmarkStart w:id="8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89"/>
    <w:bookmarkStart w:id="9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90"/>
    <w:bookmarkStart w:id="9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91"/>
    <w:bookmarkStart w:id="9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92"/>
    <w:bookmarkStart w:id="9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93"/>
    <w:bookmarkStart w:id="9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94"/>
    <w:bookmarkEnd w:id="95"/>
    <w:bookmarkStart w:id="10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9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(“Autoloaded options could affect performance”) that warns when total autoload size exceeds ~800 KB.</w:t>
      </w:r>
    </w:p>
    <w:bookmarkEnd w:id="96"/>
    <w:bookmarkStart w:id="9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97"/>
    <w:bookmarkStart w:id="9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98"/>
    <w:bookmarkStart w:id="9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99"/>
    <w:bookmarkEnd w:id="100"/>
    <w:bookmarkStart w:id="11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10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101"/>
    <w:bookmarkStart w:id="10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102"/>
    <w:bookmarkStart w:id="10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103"/>
    <w:bookmarkStart w:id="10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104"/>
    <w:bookmarkStart w:id="10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105"/>
    <w:bookmarkStart w:id="10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106"/>
    <w:bookmarkStart w:id="10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107"/>
    <w:bookmarkStart w:id="10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108"/>
    <w:bookmarkStart w:id="10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109"/>
    <w:bookmarkEnd w:id="110"/>
    <w:bookmarkStart w:id="11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11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111"/>
    <w:bookmarkStart w:id="11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112"/>
    <w:bookmarkStart w:id="11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113"/>
    <w:bookmarkEnd w:id="114"/>
    <w:bookmarkStart w:id="11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11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115"/>
    <w:bookmarkStart w:id="11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116"/>
    <w:bookmarkEnd w:id="117"/>
    <w:bookmarkStart w:id="12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11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118"/>
    <w:bookmarkStart w:id="119" w:name="review"/>
    <w:p>
      <w:pPr>
        <w:pStyle w:val="Heading3"/>
      </w:pPr>
      <w:r>
        <w:t xml:space="preserve">Review</w:t>
      </w:r>
    </w:p>
    <w:bookmarkEnd w:id="119"/>
    <w:bookmarkEnd w:id="120"/>
    <w:bookmarkStart w:id="12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2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21"/>
    <w:bookmarkStart w:id="12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22"/>
    <w:bookmarkStart w:id="12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23"/>
    <w:bookmarkEnd w:id="124"/>
    <w:bookmarkStart w:id="12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25"/>
    <w:bookmarkStart w:id="13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2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26"/>
    <w:bookmarkStart w:id="12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27"/>
    <w:bookmarkStart w:id="12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28"/>
    <w:bookmarkStart w:id="12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29"/>
    <w:bookmarkStart w:id="13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30"/>
    <w:bookmarkStart w:id="13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31"/>
    <w:bookmarkStart w:id="13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32"/>
    <w:bookmarkStart w:id="13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33"/>
    <w:bookmarkStart w:id="13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34"/>
    <w:bookmarkEnd w:id="135"/>
    <w:bookmarkStart w:id="13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36"/>
    <w:bookmarkStart w:id="139" w:name="search-sitemaps-and-large-content-sets"/>
    <w:p>
      <w:pPr>
        <w:pStyle w:val="Heading2"/>
      </w:pPr>
      <w:r>
        <w:t xml:space="preserve">21. Search, sitemaps, and large content sets</w:t>
      </w:r>
    </w:p>
    <w:bookmarkStart w:id="13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37"/>
    <w:bookmarkStart w:id="13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38"/>
    <w:bookmarkEnd w:id="139"/>
    <w:bookmarkStart w:id="15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41" w:name="Xfee1277cede5db2699e5dba19aca26f384fef5f"/>
    <w:p>
      <w:pPr>
        <w:pStyle w:val="Heading3"/>
      </w:pPr>
      <w:r>
        <w:t xml:space="preserve">Performance Lab feature plugins (verified against the plugin directory on 2026-06-14)</w:t>
      </w:r>
    </w:p>
    <w:p>
      <w:pPr>
        <w:pStyle w:val="FirstParagraph"/>
      </w:pPr>
      <w:hyperlink r:id="rId14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41"/>
    <w:bookmarkStart w:id="14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4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4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44"/>
    <w:bookmarkStart w:id="145" w:name="wp-6.6-options-api-improvements"/>
    <w:p>
      <w:pPr>
        <w:pStyle w:val="Heading3"/>
      </w:pPr>
      <w:r>
        <w:t xml:space="preserve">WP 6.6+ Options API improvements</w:t>
      </w:r>
    </w:p>
    <w:p>
      <w:pPr>
        <w:pStyle w:val="FirstParagraph"/>
      </w:pPr>
      <w:r>
        <w:t xml:space="preserve">Already covered in §12: WP 6.6 added</w:t>
      </w:r>
      <w:r>
        <w:t xml:space="preserve"> </w:t>
      </w:r>
      <w:r>
        <w:rPr>
          <w:rStyle w:val="VerbatimChar"/>
        </w:rPr>
        <w:t xml:space="preserve">wp_set_option_autoload()</w:t>
      </w:r>
      <w:r>
        <w:t xml:space="preserve">, expanded the autoload vocabulary, and added the Site Health autoload check. WP 6.8 continued to tune the auto-skip heuristics.</w:t>
      </w:r>
    </w:p>
    <w:bookmarkEnd w:id="145"/>
    <w:bookmarkStart w:id="148"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4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4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48"/>
    <w:bookmarkStart w:id="14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minimum recommended version.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Abilities, and Connectors:</w:t>
      </w:r>
      <w:r>
        <w:t xml:space="preserve"> </w:t>
      </w:r>
      <w:r>
        <w:t xml:space="preserve">WordPress 7.0 adds AI/client-side abilities and a Connectors screen. These features are infrastructure and extensibility surfaces, not automatic frontend performance improvements. If a site enables AI-backed workflows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49"/>
    <w:bookmarkStart w:id="15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50"/>
    <w:bookmarkEnd w:id="151"/>
    <w:bookmarkStart w:id="15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52"/>
    <w:bookmarkStart w:id="15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(“site”)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53"/>
    <w:bookmarkStart w:id="156" w:name="high-traffic-events-and-load-testing"/>
    <w:p>
      <w:pPr>
        <w:pStyle w:val="Heading2"/>
      </w:pPr>
      <w:r>
        <w:t xml:space="preserve">25. High-traffic events and load testing</w:t>
      </w:r>
    </w:p>
    <w:p>
      <w:pPr>
        <w:pStyle w:val="FirstParagraph"/>
      </w:pPr>
      <w:r>
        <w:t xml:space="preserve">High-traffic events require pre-work.</w:t>
      </w:r>
    </w:p>
    <w:bookmarkStart w:id="15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54"/>
    <w:bookmarkStart w:id="15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55"/>
    <w:bookmarkEnd w:id="156"/>
    <w:bookmarkStart w:id="165" w:name="measurement-tools"/>
    <w:p>
      <w:pPr>
        <w:pStyle w:val="Heading2"/>
      </w:pPr>
      <w:r>
        <w:t xml:space="preserve">26. Measurement tools</w:t>
      </w:r>
    </w:p>
    <w:bookmarkStart w:id="15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57"/>
    <w:bookmarkStart w:id="160" w:name="fielduser-tools"/>
    <w:p>
      <w:pPr>
        <w:pStyle w:val="Heading3"/>
      </w:pPr>
      <w:r>
        <w:t xml:space="preserve">Field/user tools</w:t>
      </w:r>
    </w:p>
    <w:p>
      <w:pPr>
        <w:pStyle w:val="Compact"/>
        <w:numPr>
          <w:ilvl w:val="0"/>
          <w:numId w:val="1090"/>
        </w:numPr>
      </w:pPr>
      <w:hyperlink r:id="rId158">
        <w:r>
          <w:rPr>
            <w:rStyle w:val="Hyperlink"/>
          </w:rPr>
          <w:t xml:space="preserve">Chrome User Experience Report (CrUX)</w:t>
        </w:r>
      </w:hyperlink>
      <w:r>
        <w:t xml:space="preserve">;</w:t>
      </w:r>
    </w:p>
    <w:p>
      <w:pPr>
        <w:pStyle w:val="Compact"/>
        <w:numPr>
          <w:ilvl w:val="0"/>
          <w:numId w:val="1090"/>
        </w:numPr>
      </w:pPr>
      <w:hyperlink r:id="rId15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60"/>
    <w:bookmarkStart w:id="16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61"/>
    <w:bookmarkStart w:id="16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62"/>
    <w:bookmarkStart w:id="16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63"/>
    <w:bookmarkStart w:id="16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64"/>
    <w:bookmarkEnd w:id="165"/>
    <w:bookmarkStart w:id="17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6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66"/>
    <w:bookmarkStart w:id="16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67"/>
    <w:bookmarkStart w:id="16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68"/>
    <w:bookmarkStart w:id="16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69"/>
    <w:bookmarkStart w:id="17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70"/>
    <w:bookmarkStart w:id="17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71"/>
    <w:bookmarkStart w:id="17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72"/>
    <w:bookmarkEnd w:id="173"/>
    <w:bookmarkStart w:id="17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7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74"/>
    <w:bookmarkEnd w:id="175"/>
    <w:bookmarkStart w:id="17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7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76"/>
    <w:bookmarkEnd w:id="177"/>
    <w:bookmarkStart w:id="214" w:name="source-map-and-external-references"/>
    <w:p>
      <w:pPr>
        <w:pStyle w:val="Heading2"/>
      </w:pPr>
      <w:r>
        <w:t xml:space="preserve">30. Source map and external references</w:t>
      </w:r>
    </w:p>
    <w:bookmarkStart w:id="18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4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4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7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79">
        <w:r>
          <w:rPr>
            <w:rStyle w:val="VerbatimChar"/>
          </w:rPr>
          <w:t xml:space="preserve">docs/source-corrections.md</w:t>
        </w:r>
      </w:hyperlink>
    </w:p>
    <w:bookmarkEnd w:id="180"/>
    <w:bookmarkStart w:id="193" w:name="wordpress.org-developer-documentation"/>
    <w:p>
      <w:pPr>
        <w:pStyle w:val="Heading3"/>
      </w:pPr>
      <w:r>
        <w:t xml:space="preserve">WordPress.org developer documentation</w:t>
      </w:r>
    </w:p>
    <w:p>
      <w:pPr>
        <w:pStyle w:val="Compact"/>
        <w:numPr>
          <w:ilvl w:val="0"/>
          <w:numId w:val="1104"/>
        </w:numPr>
      </w:pPr>
      <w:hyperlink r:id="rId181">
        <w:r>
          <w:rPr>
            <w:rStyle w:val="Hyperlink"/>
          </w:rPr>
          <w:t xml:space="preserve">Transients API</w:t>
        </w:r>
      </w:hyperlink>
    </w:p>
    <w:p>
      <w:pPr>
        <w:pStyle w:val="Compact"/>
        <w:numPr>
          <w:ilvl w:val="0"/>
          <w:numId w:val="1104"/>
        </w:numPr>
      </w:pPr>
      <w:hyperlink r:id="rId182">
        <w:r>
          <w:rPr>
            <w:rStyle w:val="VerbatimChar"/>
          </w:rPr>
          <w:t xml:space="preserve">get_transient()</w:t>
        </w:r>
      </w:hyperlink>
    </w:p>
    <w:p>
      <w:pPr>
        <w:pStyle w:val="Compact"/>
        <w:numPr>
          <w:ilvl w:val="0"/>
          <w:numId w:val="1104"/>
        </w:numPr>
      </w:pPr>
      <w:hyperlink r:id="rId183">
        <w:r>
          <w:rPr>
            <w:rStyle w:val="VerbatimChar"/>
          </w:rPr>
          <w:t xml:space="preserve">set_transient()</w:t>
        </w:r>
      </w:hyperlink>
    </w:p>
    <w:p>
      <w:pPr>
        <w:pStyle w:val="Compact"/>
        <w:numPr>
          <w:ilvl w:val="0"/>
          <w:numId w:val="1104"/>
        </w:numPr>
      </w:pPr>
      <w:hyperlink r:id="rId184">
        <w:r>
          <w:rPr>
            <w:rStyle w:val="VerbatimChar"/>
          </w:rPr>
          <w:t xml:space="preserve">WP_Object_Cache</w:t>
        </w:r>
      </w:hyperlink>
    </w:p>
    <w:p>
      <w:pPr>
        <w:pStyle w:val="Compact"/>
        <w:numPr>
          <w:ilvl w:val="0"/>
          <w:numId w:val="1104"/>
        </w:numPr>
      </w:pPr>
      <w:hyperlink r:id="rId185">
        <w:r>
          <w:rPr>
            <w:rStyle w:val="VerbatimChar"/>
          </w:rPr>
          <w:t xml:space="preserve">wp_start_object_cache()</w:t>
        </w:r>
      </w:hyperlink>
    </w:p>
    <w:p>
      <w:pPr>
        <w:pStyle w:val="Compact"/>
        <w:numPr>
          <w:ilvl w:val="0"/>
          <w:numId w:val="1104"/>
        </w:numPr>
      </w:pPr>
      <w:hyperlink r:id="rId186">
        <w:r>
          <w:rPr>
            <w:rStyle w:val="VerbatimChar"/>
          </w:rPr>
          <w:t xml:space="preserve">wp_set_option_autoload()</w:t>
        </w:r>
      </w:hyperlink>
    </w:p>
    <w:p>
      <w:pPr>
        <w:pStyle w:val="Compact"/>
        <w:numPr>
          <w:ilvl w:val="0"/>
          <w:numId w:val="1104"/>
        </w:numPr>
      </w:pPr>
      <w:hyperlink r:id="rId187">
        <w:r>
          <w:rPr>
            <w:rStyle w:val="VerbatimChar"/>
          </w:rPr>
          <w:t xml:space="preserve">wp_set_options_autoload()</w:t>
        </w:r>
      </w:hyperlink>
    </w:p>
    <w:p>
      <w:pPr>
        <w:pStyle w:val="Compact"/>
        <w:numPr>
          <w:ilvl w:val="0"/>
          <w:numId w:val="1104"/>
        </w:numPr>
      </w:pPr>
      <w:hyperlink r:id="rId18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89">
        <w:r>
          <w:rPr>
            <w:rStyle w:val="Hyperlink"/>
          </w:rPr>
          <w:t xml:space="preserve">WP_Query class reference</w:t>
        </w:r>
      </w:hyperlink>
    </w:p>
    <w:p>
      <w:pPr>
        <w:pStyle w:val="Compact"/>
        <w:numPr>
          <w:ilvl w:val="0"/>
          <w:numId w:val="1104"/>
        </w:numPr>
      </w:pPr>
      <w:hyperlink r:id="rId190">
        <w:r>
          <w:rPr>
            <w:rStyle w:val="Hyperlink"/>
          </w:rPr>
          <w:t xml:space="preserve">Advanced Administration Handbook — Cache</w:t>
        </w:r>
      </w:hyperlink>
    </w:p>
    <w:p>
      <w:pPr>
        <w:pStyle w:val="Compact"/>
        <w:numPr>
          <w:ilvl w:val="0"/>
          <w:numId w:val="1104"/>
        </w:numPr>
      </w:pPr>
      <w:hyperlink r:id="rId191">
        <w:r>
          <w:rPr>
            <w:rStyle w:val="Hyperlink"/>
          </w:rPr>
          <w:t xml:space="preserve">Advanced Administration Handbook — Performance</w:t>
        </w:r>
      </w:hyperlink>
    </w:p>
    <w:p>
      <w:pPr>
        <w:pStyle w:val="Compact"/>
        <w:numPr>
          <w:ilvl w:val="0"/>
          <w:numId w:val="1104"/>
        </w:numPr>
      </w:pPr>
      <w:hyperlink r:id="rId192">
        <w:r>
          <w:rPr>
            <w:rStyle w:val="Hyperlink"/>
          </w:rPr>
          <w:t xml:space="preserve">Plugin Handbook — Hooking WP-Cron into the system task scheduler</w:t>
        </w:r>
      </w:hyperlink>
    </w:p>
    <w:bookmarkEnd w:id="193"/>
    <w:bookmarkStart w:id="202" w:name="wordpress-core-blog-posts"/>
    <w:p>
      <w:pPr>
        <w:pStyle w:val="Heading3"/>
      </w:pPr>
      <w:r>
        <w:t xml:space="preserve">WordPress Core blog posts</w:t>
      </w:r>
    </w:p>
    <w:p>
      <w:pPr>
        <w:pStyle w:val="Compact"/>
        <w:numPr>
          <w:ilvl w:val="0"/>
          <w:numId w:val="1105"/>
        </w:numPr>
      </w:pPr>
      <w:hyperlink r:id="rId194">
        <w:r>
          <w:rPr>
            <w:rStyle w:val="Hyperlink"/>
          </w:rPr>
          <w:t xml:space="preserve">Options API: Disabling autoload for large options (June 2024)</w:t>
        </w:r>
      </w:hyperlink>
    </w:p>
    <w:p>
      <w:pPr>
        <w:pStyle w:val="Compact"/>
        <w:numPr>
          <w:ilvl w:val="0"/>
          <w:numId w:val="1105"/>
        </w:numPr>
      </w:pPr>
      <w:hyperlink r:id="rId195">
        <w:r>
          <w:rPr>
            <w:rStyle w:val="Hyperlink"/>
          </w:rPr>
          <w:t xml:space="preserve">New option functions in 6.4 (October 2023)</w:t>
        </w:r>
      </w:hyperlink>
    </w:p>
    <w:p>
      <w:pPr>
        <w:pStyle w:val="Compact"/>
        <w:numPr>
          <w:ilvl w:val="0"/>
          <w:numId w:val="1105"/>
        </w:numPr>
      </w:pPr>
      <w:hyperlink r:id="rId196">
        <w:r>
          <w:rPr>
            <w:rStyle w:val="Hyperlink"/>
          </w:rPr>
          <w:t xml:space="preserve">WordPress 6.6 Performance Improvements</w:t>
        </w:r>
      </w:hyperlink>
    </w:p>
    <w:p>
      <w:pPr>
        <w:pStyle w:val="Compact"/>
        <w:numPr>
          <w:ilvl w:val="0"/>
          <w:numId w:val="1105"/>
        </w:numPr>
      </w:pPr>
      <w:hyperlink r:id="rId142">
        <w:r>
          <w:rPr>
            <w:rStyle w:val="Hyperlink"/>
          </w:rPr>
          <w:t xml:space="preserve">Speculative Loading in 6.8 (March 2025)</w:t>
        </w:r>
      </w:hyperlink>
    </w:p>
    <w:p>
      <w:pPr>
        <w:pStyle w:val="Compact"/>
        <w:numPr>
          <w:ilvl w:val="0"/>
          <w:numId w:val="1105"/>
        </w:numPr>
      </w:pPr>
      <w:hyperlink r:id="rId197">
        <w:r>
          <w:rPr>
            <w:rStyle w:val="Hyperlink"/>
          </w:rPr>
          <w:t xml:space="preserve">WordPress 6.8 Performance Improvements (April 2025)</w:t>
        </w:r>
      </w:hyperlink>
    </w:p>
    <w:p>
      <w:pPr>
        <w:pStyle w:val="Compact"/>
        <w:numPr>
          <w:ilvl w:val="0"/>
          <w:numId w:val="1105"/>
        </w:numPr>
      </w:pPr>
      <w:hyperlink r:id="rId146">
        <w:r>
          <w:rPr>
            <w:rStyle w:val="Hyperlink"/>
          </w:rPr>
          <w:t xml:space="preserve">WordPress 6.9 Frontend Performance Field Guide</w:t>
        </w:r>
      </w:hyperlink>
    </w:p>
    <w:p>
      <w:pPr>
        <w:pStyle w:val="Compact"/>
        <w:numPr>
          <w:ilvl w:val="0"/>
          <w:numId w:val="1105"/>
        </w:numPr>
      </w:pPr>
      <w:hyperlink r:id="rId147">
        <w:r>
          <w:rPr>
            <w:rStyle w:val="Hyperlink"/>
          </w:rPr>
          <w:t xml:space="preserve">WordPress 6.9 Field Guide</w:t>
        </w:r>
      </w:hyperlink>
    </w:p>
    <w:p>
      <w:pPr>
        <w:pStyle w:val="Compact"/>
        <w:numPr>
          <w:ilvl w:val="0"/>
          <w:numId w:val="1105"/>
        </w:numPr>
      </w:pPr>
      <w:hyperlink r:id="rId198">
        <w:r>
          <w:rPr>
            <w:rStyle w:val="Hyperlink"/>
          </w:rPr>
          <w:t xml:space="preserve">WordPress 7.0 Field Guide</w:t>
        </w:r>
      </w:hyperlink>
    </w:p>
    <w:p>
      <w:pPr>
        <w:pStyle w:val="Compact"/>
        <w:numPr>
          <w:ilvl w:val="0"/>
          <w:numId w:val="1105"/>
        </w:numPr>
      </w:pPr>
      <w:hyperlink r:id="rId199">
        <w:r>
          <w:rPr>
            <w:rStyle w:val="Hyperlink"/>
          </w:rPr>
          <w:t xml:space="preserve">Dropping support for PHP 7.2 and 7.3</w:t>
        </w:r>
      </w:hyperlink>
    </w:p>
    <w:p>
      <w:pPr>
        <w:pStyle w:val="Compact"/>
        <w:numPr>
          <w:ilvl w:val="0"/>
          <w:numId w:val="1105"/>
        </w:numPr>
      </w:pPr>
      <w:hyperlink r:id="rId200">
        <w:r>
          <w:rPr>
            <w:rStyle w:val="Hyperlink"/>
          </w:rPr>
          <w:t xml:space="preserve">Real-time collaboration will not ship in WordPress 7.0</w:t>
        </w:r>
      </w:hyperlink>
    </w:p>
    <w:p>
      <w:pPr>
        <w:pStyle w:val="Compact"/>
        <w:numPr>
          <w:ilvl w:val="0"/>
          <w:numId w:val="1105"/>
        </w:numPr>
      </w:pPr>
      <w:hyperlink r:id="rId201">
        <w:r>
          <w:rPr>
            <w:rStyle w:val="Hyperlink"/>
          </w:rPr>
          <w:t xml:space="preserve">WordPress release archive</w:t>
        </w:r>
      </w:hyperlink>
    </w:p>
    <w:bookmarkEnd w:id="202"/>
    <w:bookmarkStart w:id="204" w:name="performance-lab-and-standalone-plugins"/>
    <w:p>
      <w:pPr>
        <w:pStyle w:val="Heading3"/>
      </w:pPr>
      <w:r>
        <w:t xml:space="preserve">Performance Lab and standalone plugins</w:t>
      </w:r>
    </w:p>
    <w:p>
      <w:pPr>
        <w:pStyle w:val="Compact"/>
        <w:numPr>
          <w:ilvl w:val="0"/>
          <w:numId w:val="1106"/>
        </w:numPr>
      </w:pPr>
      <w:hyperlink r:id="rId140">
        <w:r>
          <w:rPr>
            <w:rStyle w:val="Hyperlink"/>
          </w:rPr>
          <w:t xml:space="preserve">Performance Lab</w:t>
        </w:r>
      </w:hyperlink>
    </w:p>
    <w:p>
      <w:pPr>
        <w:pStyle w:val="Compact"/>
        <w:numPr>
          <w:ilvl w:val="0"/>
          <w:numId w:val="1106"/>
        </w:numPr>
      </w:pPr>
      <w:hyperlink r:id="rId143">
        <w:r>
          <w:rPr>
            <w:rStyle w:val="Hyperlink"/>
          </w:rPr>
          <w:t xml:space="preserve">Speculative Loading</w:t>
        </w:r>
      </w:hyperlink>
    </w:p>
    <w:p>
      <w:pPr>
        <w:pStyle w:val="Compact"/>
        <w:numPr>
          <w:ilvl w:val="0"/>
          <w:numId w:val="1106"/>
        </w:numPr>
      </w:pPr>
      <w:hyperlink r:id="rId203">
        <w:r>
          <w:rPr>
            <w:rStyle w:val="Hyperlink"/>
          </w:rPr>
          <w:t xml:space="preserve">Image Placeholders / Dominant Color Images</w:t>
        </w:r>
      </w:hyperlink>
    </w:p>
    <w:bookmarkEnd w:id="204"/>
    <w:bookmarkStart w:id="211" w:name="web-platform-core-web-vitals"/>
    <w:p>
      <w:pPr>
        <w:pStyle w:val="Heading3"/>
      </w:pPr>
      <w:r>
        <w:t xml:space="preserve">Web platform / Core Web Vitals</w:t>
      </w:r>
    </w:p>
    <w:p>
      <w:pPr>
        <w:pStyle w:val="Compact"/>
        <w:numPr>
          <w:ilvl w:val="0"/>
          <w:numId w:val="1107"/>
        </w:numPr>
      </w:pPr>
      <w:hyperlink r:id="rId205">
        <w:r>
          <w:rPr>
            <w:rStyle w:val="Hyperlink"/>
          </w:rPr>
          <w:t xml:space="preserve">web.dev — Learn Core Web Vitals</w:t>
        </w:r>
      </w:hyperlink>
    </w:p>
    <w:p>
      <w:pPr>
        <w:pStyle w:val="Compact"/>
        <w:numPr>
          <w:ilvl w:val="0"/>
          <w:numId w:val="1107"/>
        </w:numPr>
      </w:pPr>
      <w:hyperlink r:id="rId206">
        <w:r>
          <w:rPr>
            <w:rStyle w:val="Hyperlink"/>
          </w:rPr>
          <w:t xml:space="preserve">web.dev — Web Vitals overview</w:t>
        </w:r>
      </w:hyperlink>
    </w:p>
    <w:p>
      <w:pPr>
        <w:pStyle w:val="Compact"/>
        <w:numPr>
          <w:ilvl w:val="0"/>
          <w:numId w:val="1107"/>
        </w:numPr>
      </w:pPr>
      <w:hyperlink r:id="rId207">
        <w:r>
          <w:rPr>
            <w:rStyle w:val="Hyperlink"/>
          </w:rPr>
          <w:t xml:space="preserve">web.dev — Interaction to Next Paint</w:t>
        </w:r>
      </w:hyperlink>
    </w:p>
    <w:p>
      <w:pPr>
        <w:pStyle w:val="Compact"/>
        <w:numPr>
          <w:ilvl w:val="0"/>
          <w:numId w:val="1107"/>
        </w:numPr>
      </w:pPr>
      <w:hyperlink r:id="rId208">
        <w:r>
          <w:rPr>
            <w:rStyle w:val="Hyperlink"/>
          </w:rPr>
          <w:t xml:space="preserve">web.dev — Defining Core Web Vitals thresholds</w:t>
        </w:r>
      </w:hyperlink>
    </w:p>
    <w:p>
      <w:pPr>
        <w:pStyle w:val="Compact"/>
        <w:numPr>
          <w:ilvl w:val="0"/>
          <w:numId w:val="1107"/>
        </w:numPr>
      </w:pPr>
      <w:hyperlink r:id="rId15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209">
        <w:r>
          <w:rPr>
            <w:rStyle w:val="Hyperlink"/>
          </w:rPr>
          <w:t xml:space="preserve">MDN — Critical rendering path</w:t>
        </w:r>
      </w:hyperlink>
    </w:p>
    <w:p>
      <w:pPr>
        <w:pStyle w:val="Compact"/>
        <w:numPr>
          <w:ilvl w:val="0"/>
          <w:numId w:val="1107"/>
        </w:numPr>
      </w:pPr>
      <w:hyperlink r:id="rId210">
        <w:r>
          <w:rPr>
            <w:rStyle w:val="Hyperlink"/>
          </w:rPr>
          <w:t xml:space="preserve">MDN —</w:t>
        </w:r>
        <w:r>
          <w:rPr>
            <w:rStyle w:val="Hyperlink"/>
          </w:rPr>
          <w:t xml:space="preserve"> </w:t>
        </w:r>
        <w:r>
          <w:rPr>
            <w:rStyle w:val="VerbatimChar"/>
          </w:rPr>
          <w:t xml:space="preserve">font-display</w:t>
        </w:r>
      </w:hyperlink>
    </w:p>
    <w:bookmarkEnd w:id="211"/>
    <w:bookmarkStart w:id="213" w:name="advanced-admin-handbook-pr"/>
    <w:p>
      <w:pPr>
        <w:pStyle w:val="Heading3"/>
      </w:pPr>
      <w:r>
        <w:t xml:space="preserve">Advanced Admin Handbook PR</w:t>
      </w:r>
    </w:p>
    <w:p>
      <w:pPr>
        <w:pStyle w:val="Compact"/>
        <w:numPr>
          <w:ilvl w:val="0"/>
          <w:numId w:val="1108"/>
        </w:numPr>
      </w:pPr>
      <w:hyperlink r:id="rId212">
        <w:r>
          <w:rPr>
            <w:rStyle w:val="Hyperlink"/>
          </w:rPr>
          <w:t xml:space="preserve">WordPress/Advanced-administration-handbook PR #485</w:t>
        </w:r>
      </w:hyperlink>
    </w:p>
    <w:bookmarkEnd w:id="213"/>
    <w:bookmarkEnd w:id="214"/>
    <w:bookmarkEnd w:id="215"/>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2026-06-14T20:02:00Z</dcterms:created>
  <dcterms:modified xsi:type="dcterms:W3CDTF">2026-06-14T20:02:00Z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1.2 — DRAFT</vt:lpwstr>
  </property>
  <property fmtid="{D5CDD505-2E9C-101B-9397-08002B2CF9AE}" pid="4" name="version">
    <vt:lpwstr>1.2</vt:lpwstr>
  </property>
</Properties>
</file>